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AgrStatEBV 2021</w:t>
      </w:r>
    </w:p>
    <w:p>
      <w:r>
        <w:rPr>
          <w:color w:val="555555"/>
          <w:sz w:val="18"/>
        </w:rPr>
        <w:t xml:space="preserve">Agrarstatistik-Emissionsberichterstattungsverordnung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Auf Grund des § 94a Nummer 5 des Agrarstatistikgesetzes, der durch Artikel 1 Nummer 9 des Gesetzes vom 8. Juli 2019 (BGBl. I S. 1034)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AgrStatEBV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https://recht.nulegal.eu/gesetze/AgrStatEBV%202021/eingangsformel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