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AgrStatEBV 2021 — Inkrafttreten, Außerkrafttreten</w:t>
      </w:r>
    </w:p>
    <w:p>
      <w:r>
        <w:rPr>
          <w:color w:val="555555"/>
          <w:sz w:val="18"/>
        </w:rPr>
        <w:t xml:space="preserve">Agrarstatistik-Emissionsberichterstattungsverordnung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(1) Diese Verordnung tritt am 1. Januar 2021 in Kraft.</w:t>
      </w:r>
    </w:p>
    <w:p>
      <w:r>
        <w:t xml:space="preserve">(2) Sie tritt am 31. Dezember 2022 außer Kraft.</w:t>
      </w:r>
    </w:p>
    <w:p>
      <w:r>
        <w:rPr>
          <w:color w:val="555555"/>
          <w:sz w:val="17"/>
        </w:rPr>
        <w:t xml:space="preserve">Zitiervorschlag: § 2 AgrStatEBV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https://recht.nulegal.eu/gesetze/AgrStatEBV%202021/2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