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AgrStatDEV — Inkrafttreten</w:t>
      </w:r>
    </w:p>
    <w:p>
      <w:r>
        <w:rPr>
          <w:color w:val="555555"/>
          <w:sz w:val="18"/>
        </w:rPr>
        <w:t xml:space="preserve">Agrarstatistik-Datenerhebungsverordnung</w:t>
      </w:r>
    </w:p>
    <w:p>
      <w:r>
        <w:rPr>
          <w:color w:val="555555"/>
          <w:sz w:val="18"/>
        </w:rPr>
        <w:t xml:space="preserve">Historische Fassung: Stand 17.07.2025 bis 01.01.2026. Dies ist nicht die aktuelle Fassung.</w:t>
      </w:r>
    </w:p>
    <w:p>
      <w:r>
        <w:t xml:space="preserve">Diese Verordnung tritt am Tag nach ihrer Verkündung in Kraft.</w:t>
      </w:r>
    </w:p>
    <w:p>
      <w:r>
        <w:rPr>
          <w:color w:val="555555"/>
          <w:sz w:val="17"/>
        </w:rPr>
        <w:t xml:space="preserve">Zitiervorschlag: § 3 AgrStatDEV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https://recht.nulegal.eu/gesetze/AgrStatDEV/3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