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AgrFSchV (Bayern) — Schulaufwand</w:t>
      </w:r>
    </w:p>
    <w:p>
      <w:r>
        <w:rPr>
          <w:color w:val="555555"/>
          <w:sz w:val="18"/>
        </w:rPr>
        <w:t xml:space="preserve">Agrarfachschulverordnung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nicht zum Personalaufwand gemäß § 2 gehörende übrige Aufwand ist Schulaufwand. Er umfaßt den für den ordnungsgemäßen Schulbetrieb und Unterricht erforderlichen Sachaufwand sowie den Aufwand für das Hauspersonal.</w:t>
      </w:r>
    </w:p>
    <w:p>
      <w:r>
        <w:t xml:space="preserve">(2) Den Schulaufwand tragen nach Maßgabe der für die einzelnen Schulen geltenden Regelungen der Freistaat Bayern, kommunale Gebietskörperschaften, Zweckverbände oder privatrechtliche Vereinigungen.</w:t>
      </w:r>
    </w:p>
    <w:p>
      <w:r>
        <w:rPr>
          <w:color w:val="555555"/>
          <w:sz w:val="17"/>
        </w:rPr>
        <w:t xml:space="preserve">Zitiervorschlag: § 3 AgrFSchV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https://recht.nulegal.eu/gesetze/AgrFSchV/3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