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AgrFSchV (Bayern) — Personalaufwand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Personalaufwand umfaßt den Aufwand nach den beamten-, tarif- und sozialversicherungsrechtlichen Bestimmungen sowie die gesetzlichen Beiträge zur Berufsgenossenschaft für Lehrer und Verwaltungspersonal sowie pädagogisches Hilfspersonal. Der Aufwand schließt die Aufwendungen für den nebenamtlichen und nebenberuflichen Unterricht ein.</w:t>
      </w:r>
    </w:p>
    <w:p>
      <w:r>
        <w:t xml:space="preserve">(2) Den Personalaufwand trägt der Freistaat Bayern.</w:t>
      </w:r>
    </w:p>
    <w:p>
      <w:r>
        <w:rPr>
          <w:color w:val="555555"/>
          <w:sz w:val="17"/>
        </w:rPr>
        <w:t xml:space="preserve">Zitiervorschlag: § 2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