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AgrFSchV (Bayern) — Schularten, Schulstandorte</w:t>
      </w:r>
    </w:p>
    <w:p>
      <w:r>
        <w:rPr>
          <w:color w:val="555555"/>
          <w:sz w:val="18"/>
        </w:rPr>
        <w:t xml:space="preserve">Agrarfachschulverordnung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werden errichtet</w:t>
      </w:r>
    </w:p>
    <w:p>
      <w:r>
        <w:t xml:space="preserve">1. staatliche agrarwirtschaftliche Fachschulen</w:t>
      </w:r>
    </w:p>
    <w:p>
      <w:r>
        <w:t xml:space="preserve">a) staatliche Landwirtschaftsschulen,</w:t>
      </w:r>
    </w:p>
    <w:p>
      <w:r>
        <w:t xml:space="preserve">b) staatliche Fachschulen für Agrarwirtschaft,</w:t>
      </w:r>
    </w:p>
    <w:p>
      <w:r>
        <w:t xml:space="preserve">c) staatliche Höhere Landbauschulen,</w:t>
      </w:r>
    </w:p>
    <w:p>
      <w:r>
        <w:t xml:space="preserve">d) staatliche Technikerschulen für Agrarwirtschaft, für Waldwirtschaft sowie staatliche Meister- und Technikerschule für Weinbau und Gartenbau,</w:t>
      </w:r>
    </w:p>
    <w:p>
      <w:r>
        <w:t xml:space="preserve">2. die staatliche Fachakademie für Landwirtschaft,</w:t>
      </w:r>
    </w:p>
    <w:p>
      <w:r>
        <w:t xml:space="preserve">3. die staatliche Berufsfachschule für Agrartechnische Assistentinnen und Assistenten.</w:t>
      </w:r>
    </w:p>
    <w:p>
      <w:r>
        <w:t xml:space="preserve">(2) Die in Abs. 1 genannten Schulen mit den jeweils zugehörigen Standorten, Abteilungen, Fachrichtungen und Schulaufwandsträgern ergeben sich aus der Anlage.</w:t>
      </w:r>
    </w:p>
    <w:p>
      <w:r>
        <w:rPr>
          <w:color w:val="555555"/>
          <w:sz w:val="17"/>
        </w:rPr>
        <w:t xml:space="preserve">Zitiervorschlag: § 1 AgrFSchV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https://recht.nulegal.eu/gesetze/AgrFSchV/1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