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AggerVG - (Nordrhein-Westfalen) — Vertretung des Verbandes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Vorstand vertritt den Verband gerichtlich und außergerichtlich.</w:t>
      </w:r>
    </w:p>
    <w:p>
      <w:r>
        <w:t xml:space="preserve">(2) Der Vorstand bestellt mit Zustimmung des Verbandsrates eine Abteilungsleiterin oder einen Abteilungsleiter zu seinem ständigen Vertreter.</w:t>
      </w:r>
    </w:p>
    <w:p>
      <w:r>
        <w:t xml:space="preserve">(3) Verpflichtende Erklärungen des Verbandes bedürfen der Schriftform. Die Vertretungs- und Unterschriftsbefugnisse werden durch die Geschäftsordnung für die Verbandsverwaltung geregelt.</w:t>
      </w:r>
    </w:p>
    <w:p>
      <w:r>
        <w:t xml:space="preserve">Sechster Teil</w:t>
      </w:r>
    </w:p>
    <w:p>
      <w:r>
        <w:t xml:space="preserve">Finanzplanung, Wirtschaftsführung und Rechnungswesen, Beiträge</w:t>
      </w:r>
    </w:p>
    <w:p>
      <w:r>
        <w:rPr>
          <w:color w:val="555555"/>
          <w:sz w:val="17"/>
        </w:rPr>
        <w:t xml:space="preserve">Zitiervorschlag: § 21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