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AfögLTAV — Förderungsrechtliche Stellung der Auszubildenden</w:t>
      </w:r>
    </w:p>
    <w:p>
      <w:r>
        <w:rPr>
          <w:color w:val="555555"/>
          <w:sz w:val="18"/>
        </w:rPr>
        <w:t xml:space="preserve">Verordnung über die Ausbildungsförderung für den Besuch von Ausbildungsstätten für landwirtschaftlich-technische, milchwirtschaftlich-technische und biologisch-technische Assistentinnen und Assistenten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Auszubildenden an den in § 1 bezeichneten Ausbildungsstätten erhalten Ausbildungsförderung wie Schüler von Berufsfachschulen.</w:t>
      </w:r>
    </w:p>
    <w:p>
      <w:r>
        <w:rPr>
          <w:color w:val="555555"/>
          <w:sz w:val="17"/>
        </w:rPr>
        <w:t xml:space="preserve">Zitiervorschlag: § 2 AfögLTAV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https://recht.nulegal.eu/gesetze/Af%C3%B6gLTAV/2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