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AdenauerHStiftG — Stiftungsvermögen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Inkrafttreten dieses Gesetzes gehen auf die Stiftung über:</w:t>
      </w:r>
    </w:p>
    <w:p>
      <w:pPr>
        <w:ind w:left="420"/>
      </w:pPr>
      <w:r>
        <w:t xml:space="preserve">1. die unbeweglichen und beweglichen Vermögensgegenstände, die der Bundesrepublik Deutschland von den Erben des verstorbenen Bundeskanzlers Konrad Adenauer auf Grund besonderer vertraglicher Vereinbarungen unentgeltlich übereignet worden sind, und</w:t>
      </w:r>
    </w:p>
    <w:p>
      <w:pPr>
        <w:ind w:left="420"/>
      </w:pPr>
      <w:r>
        <w:t xml:space="preserve">2. die von der Bundesrepublik Deutschland für die unselbständige Stiftung Bundeskanzler-Adenauer-Haus erworbenen Vermögensgegenstände.</w:t>
      </w:r>
    </w:p>
    <w:p>
      <w:r>
        <w:t xml:space="preserve">(2) Die Stiftung ist berechtigt, Zuwendungen von dritter Seite anzunehmen.</w:t>
      </w:r>
    </w:p>
    <w:p>
      <w:r>
        <w:t xml:space="preserve">(3) Zur Erfüllung des Stiftungszwecks (§ 2 Abs. 1) erhält die Stiftung einen jährlichen Zuschuß des Bundes nach Maßgabe des jeweiligen Bundeshaushalts.</w:t>
      </w:r>
    </w:p>
    <w:p>
      <w:r>
        <w:t xml:space="preserve">(4) Erträgnisse des Stiftungsvermögens und sonstige Einnahmen sind nur im Sinne des Stiftungszwecks zu verwenden.</w:t>
      </w:r>
    </w:p>
    <w:p>
      <w:r>
        <w:rPr>
          <w:color w:val="555555"/>
          <w:sz w:val="17"/>
        </w:rPr>
        <w:t xml:space="preserve">Zitiervorschlag: § 3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