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AdenauerHStiftG — Berlin-Klausel</w:t>
      </w:r>
    </w:p>
    <w:p>
      <w:r>
        <w:rPr>
          <w:color w:val="555555"/>
          <w:sz w:val="18"/>
        </w:rPr>
        <w:t xml:space="preserve">Gesetz über die Errichtung einer Stiftung Bundeskanzler-Adenauer-Haus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§ 14 AdenauerHStiftG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https://recht.nulegal.eu/gesetze/AdenauerHStiftG/14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