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AdenauerHStiftG — Beschäftigte</w:t>
      </w:r>
    </w:p>
    <w:p>
      <w:r>
        <w:rPr>
          <w:color w:val="555555"/>
          <w:sz w:val="18"/>
        </w:rPr>
        <w:t xml:space="preserve">Gesetz über die Errichtung einer Stiftung Bundeskanzler-Adenauer-Haus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Geschäfte der Stiftung werden in der Regel durch Arbeitnehmer (Angestellte und Arbeiter) wahrgenommen.</w:t>
      </w:r>
    </w:p>
    <w:p>
      <w:r>
        <w:t xml:space="preserve">(2) Auf die Arbeitnehmer der Stiftung sind die für Arbeitnehmer des Bundes jeweils geltenden Tarifverträge und sonstigen Bestimmungen anzuwenden.</w:t>
      </w:r>
    </w:p>
    <w:p>
      <w:r>
        <w:t xml:space="preserve">(3) Der Stiftung kann durch Satzungsregelung das Recht, Beamte zu haben, verliehen werden.</w:t>
      </w:r>
    </w:p>
    <w:p>
      <w:r>
        <w:rPr>
          <w:color w:val="555555"/>
          <w:sz w:val="17"/>
        </w:rPr>
        <w:t xml:space="preserve">Zitiervorschlag: § 10 AdenauerHStiftG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https://recht.nulegal.eu/gesetze/AdenauerHStiftG/10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