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AdWirkG — Antragstellung; Reichweite der Entscheidungswirkungen</w:t>
      </w:r>
    </w:p>
    <w:p>
      <w:r>
        <w:rPr>
          <w:color w:val="555555"/>
          <w:sz w:val="18"/>
        </w:rPr>
        <w:t xml:space="preserve">Adoptionswirkungsgesetz</w:t>
      </w:r>
    </w:p>
    <w:p>
      <w:r>
        <w:rPr>
          <w:color w:val="555555"/>
          <w:sz w:val="18"/>
        </w:rPr>
        <w:t xml:space="preserve">Stand: 01.04.2021 (konsolidierte Textfassung, kein amtliches Inkrafttretensdatum)</w:t>
      </w:r>
    </w:p>
    <w:p>
      <w:r>
        <w:t xml:space="preserve">(1) Antragsbefugt sind</w:t>
      </w:r>
    </w:p>
    <w:p>
      <w:pPr>
        <w:ind w:left="420"/>
      </w:pPr>
      <w:r>
        <w:t xml:space="preserve">1. für eine Feststellung nach § 2 Abs. 1</w:t>
      </w:r>
    </w:p>
    <w:p>
      <w:pPr>
        <w:ind w:left="780"/>
      </w:pPr>
      <w:r>
        <w:t xml:space="preserve">a) der Annehmende, im Fall der Annahme durch Ehegatten jeder von ihnen,</w:t>
      </w:r>
    </w:p>
    <w:p>
      <w:pPr>
        <w:ind w:left="780"/>
      </w:pPr>
      <w:r>
        <w:t xml:space="preserve">b) das Kind,</w:t>
      </w:r>
    </w:p>
    <w:p>
      <w:pPr>
        <w:ind w:left="780"/>
      </w:pPr>
      <w:r>
        <w:t xml:space="preserve">c) ein bisheriger Elternteil oder</w:t>
      </w:r>
    </w:p>
    <w:p>
      <w:pPr>
        <w:ind w:left="780"/>
      </w:pPr>
      <w:r>
        <w:t xml:space="preserve">d) das Standesamt, das nach § 27 Abs. 1 des Personenstandsgesetzes für die Fortführung der Beurkundung der Geburt des Kindes im Geburtenregister oder nach § 36 des Personenstandsgesetzes für die Beurkundung der Geburt des Kindes zuständig ist;</w:t>
      </w:r>
    </w:p>
    <w:p>
      <w:pPr>
        <w:ind w:left="420"/>
      </w:pPr>
      <w:r>
        <w:t xml:space="preserve">2. für einen Ausspruch nach § 3 Abs. 1 oder Abs. 2 der Annehmende, annehmende Ehegatten nur gemeinschaftlich.</w:t>
      </w:r>
    </w:p>
    <w:p>
      <w:r>
        <w:t xml:space="preserve">Der Antrag auf Feststellung nach § 1 Absatz 2 ist unverzüglich nach dem Erlass der ausländischen Adoptionsentscheidung zu stellen. Von der Antragsbefugnis nach Satz 1 Nr. 1 Buchstabe d ist nur in Zweifelsfällen Gebrauch zu machen. Für den Antrag nach Satz 1 Nr. 2 gelten § 1752 Abs. 2 und § 1753 des Bürgerlichen Gesetzbuchs.</w:t>
      </w:r>
    </w:p>
    <w:p>
      <w:r>
        <w:t xml:space="preserve">(2) Eine Feststellung nach § 2 sowie ein Ausspruch nach § 3 wirken für und gegen alle. Die Feststellung nach § 2 wirkt jedoch nicht gegenüber den bisherigen Eltern. In dem Beschluss nach § 2 ist dessen Wirkung auch gegenüber einem bisherigen Elternteil auszusprechen, sofern dieser das Verfahren eingeleitet hat oder auf Antrag eines nach Absatz 1 Satz 1 Nr. 1 Buchstabe a bis c Antragsbefugten beteiligt wurde. Die Beteiligung eines bisherigen Elternteils und der erweiterte Wirkungsausspruch nach Satz 3 können in einem gesonderten Verfahren beantragt werden.</w:t>
      </w:r>
    </w:p>
    <w:p>
      <w:r>
        <w:rPr>
          <w:color w:val="555555"/>
          <w:sz w:val="17"/>
        </w:rPr>
        <w:t xml:space="preserve">Zitiervorschlag: § 5 AdWirkG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https://recht.nulegal.eu/gesetze/AdWirkG/5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