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AdWirkG — Unbegleitete Auslandsadoptionen</w:t>
      </w:r>
    </w:p>
    <w:p>
      <w:r>
        <w:rPr>
          <w:color w:val="555555"/>
          <w:sz w:val="18"/>
        </w:rPr>
        <w:t xml:space="preserve">Adoptionswirkungsgesetz</w:t>
      </w:r>
    </w:p>
    <w:p>
      <w:r>
        <w:rPr>
          <w:color w:val="555555"/>
          <w:sz w:val="18"/>
        </w:rPr>
        <w:t xml:space="preserve">Stand: 01.04.2021 (konsolidierte Textfassung, kein amtliches Inkrafttretensdatum)</w:t>
      </w:r>
    </w:p>
    <w:p>
      <w:r>
        <w:t xml:space="preserve">(1) Eine ausländische Adoptionsentscheidung im Sinne von § 1 Absatz 2 wird nicht anerkannt, wenn die Adoption ohne eine internationale Adoptionsvermittlung gemäß § 2a Absatz 2 des Adoptionsvermittlungsgesetzes vorgenommen worden ist. Abweichend hiervon kann eine Feststellung nach § 2 nur ergehen, wenn zu erwarten ist, dass zwischen dem Annehmenden und dem Kind ein Eltern-Kind-Verhältnis entsteht und die Annahme für das Wohl des Kindes erforderlich ist.</w:t>
      </w:r>
    </w:p>
    <w:p>
      <w:r>
        <w:t xml:space="preserve">(2) Für das Vorliegen der Voraussetzungen nach Absatz 1 ist der Zeitpunkt der gerichtlichen Entscheidung maßgeblich.</w:t>
      </w:r>
    </w:p>
    <w:p>
      <w:r>
        <w:rPr>
          <w:color w:val="555555"/>
          <w:sz w:val="17"/>
        </w:rPr>
        <w:t xml:space="preserve">Zitiervorschlag: § 4 AdWirkG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https://recht.nulegal.eu/gesetze/AdWirkG/4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