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AdWirkG — Umwandlungsausspruch</w:t>
      </w:r>
    </w:p>
    <w:p>
      <w:r>
        <w:rPr>
          <w:color w:val="555555"/>
          <w:sz w:val="18"/>
        </w:rPr>
        <w:t xml:space="preserve">Adoptionswirkungsgesetz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(1) In den Fällen des § 2 Absatz 3 Satz 1 Nummer 2 kann das Familiengericht auf Antrag aussprechen, dass das Kind die Rechtsstellung eines nach den deutschen Sachvorschriften angenommenen Kindes erhält, wenn</w:t>
      </w:r>
    </w:p>
    <w:p>
      <w:pPr>
        <w:ind w:left="420"/>
      </w:pPr>
      <w:r>
        <w:t xml:space="preserve">1. dies dem Wohl des Kindes dient,</w:t>
      </w:r>
    </w:p>
    <w:p>
      <w:pPr>
        <w:ind w:left="420"/>
      </w:pPr>
      <w:r>
        <w:t xml:space="preserve">2. die erforderlichen Zustimmungen zu einer Annahme mit einer das Eltern-Kind-Verhältnis beendenden Wirkung erteilt sind und</w:t>
      </w:r>
    </w:p>
    <w:p>
      <w:pPr>
        <w:ind w:left="420"/>
      </w:pPr>
      <w:r>
        <w:t xml:space="preserve">3. überwiegende Interessen des Ehegatten, des Lebenspartners oder der Kinder des Annehmenden oder des Angenommenen nicht entgegenstehen.</w:t>
      </w:r>
    </w:p>
    <w:p>
      <w:r>
        <w:t xml:space="preserve">Auf die Erforderlichkeit und die Erteilung der in Satz 1 Nr. 2 genannten Zustimmungen finden die für die Zustimmungen zu der Annahme maßgebenden Vorschriften sowie Artikel 6 des Einführungsgesetzes zum Bürgerlichen Gesetzbuche entsprechende Anwendung. Auf die Zustimmung des Kindes ist zusätzlich § 1746 des Bürgerlichen Gesetzbuchs anzuwenden. Hat der Angenommene zur Zeit des Beschlusses nach Satz 1 das 18. Lebensjahr vollendet, so entfällt die Voraussetzung nach Satz 1 Nr. 1.</w:t>
      </w:r>
    </w:p>
    <w:p>
      <w:r>
        <w:t xml:space="preserve">(2) Absatz 1 gilt in den Fällen des § 2 Absatz 3 Satz 1 Nummer 1 entsprechend, wenn die Wirkungen der Annahme von den nach den deutschen Sachvorschriften vorgesehenen Wirkungen abweichen.</w:t>
      </w:r>
    </w:p>
    <w:p>
      <w:r>
        <w:rPr>
          <w:color w:val="555555"/>
          <w:sz w:val="17"/>
        </w:rPr>
        <w:t xml:space="preserve">Zitiervorschlag: § 3 AdWirkG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https://recht.nulegal.eu/gesetze/AdWirkG/3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