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AdWirkG — Anerkennungs- und Wirkungsfeststellung</w:t>
      </w:r>
    </w:p>
    <w:p>
      <w:r>
        <w:rPr>
          <w:color w:val="555555"/>
          <w:sz w:val="18"/>
        </w:rPr>
        <w:t xml:space="preserve">Adoptionswirkungsgesetz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(1) Auf Antrag stellt das Familiengericht fest, ob eine Annahme als Kind im Sinne des § 1 Absatz 1 anzuerkennen oder wirksam und ob das Eltern-Kind-Verhältnis des Kindes zu seinen bisherigen Eltern durch die Annahme erloschen ist.</w:t>
      </w:r>
    </w:p>
    <w:p>
      <w:r>
        <w:t xml:space="preserve">(2) In den Verfahren auf Anerkennungsfeststellung gemäß § 1 Absatz 2 kann der Antrag nicht zurückgenommen werden.</w:t>
      </w:r>
    </w:p>
    <w:p>
      <w:r>
        <w:t xml:space="preserve">(3) Im Falle einer anzuerkennenden oder wirksamen Annahme ist zusätzlich festzustellen,</w:t>
      </w:r>
    </w:p>
    <w:p>
      <w:pPr>
        <w:ind w:left="420"/>
      </w:pPr>
      <w:r>
        <w:t xml:space="preserve">1. wenn das in Absatz 1 genannte Eltern-Kind-Verhältnis erloschen ist, dass das Annahmeverhältnis einem nach den deutschen Sachvorschriften begründeten Annahmeverhältnis gleichsteht,</w:t>
      </w:r>
    </w:p>
    <w:p>
      <w:pPr>
        <w:ind w:left="420"/>
      </w:pPr>
      <w:r>
        <w:t xml:space="preserve">2. andernfalls, dass das Annahmeverhältnis in Ansehung der elterlichen Sorge und der Unterhaltspflicht des Annehmenden einem nach den deutschen Sachvorschriften begründeten Annahmeverhältnis gleichsteht.</w:t>
      </w:r>
    </w:p>
    <w:p>
      <w:r>
        <w:t xml:space="preserve">Von der Feststellung nach Satz 1 kann abgesehen werden, wenn gleichzeitig ein Umwandlungsausspruch nach § 3 ergeht.</w:t>
      </w:r>
    </w:p>
    <w:p>
      <w:r>
        <w:rPr>
          <w:color w:val="555555"/>
          <w:sz w:val="17"/>
        </w:rPr>
        <w:t xml:space="preserve">Zitiervorschlag: § 2 AdWirkG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https://recht.nulegal.eu/gesetze/AdWirkG/2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