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AdVermiStAnKoV</w:t>
      </w:r>
    </w:p>
    <w:p>
      <w:r>
        <w:rPr>
          <w:color w:val="555555"/>
          <w:sz w:val="18"/>
        </w:rPr>
        <w:t xml:space="preserve">Adoptionsvermittlungsstellenanerkennungs- und 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9c Abs. 1 Satz 1 und 2 Nr. 4 und Abs. 2 des Adoptionsvermittlungsgesetzes in der Fassung der Bekanntmachung vom 22. Dezember 2001 (BGBl. 2002 I S. 354) in Verbindung mit dem 2. Abschnitt des Verwaltungskostengesetzes vom 23. Juni 1970 (BGBl. I S. 821) verordnet das Bundesministerium für Familie, Senioren, Frauen und Jugend im Einvernehmen mit dem Bundesministerium der Justiz:</w:t>
      </w:r>
    </w:p>
    <w:p>
      <w:r>
        <w:rPr>
          <w:color w:val="555555"/>
          <w:sz w:val="17"/>
        </w:rPr>
        <w:t xml:space="preserve">Zitiervorschlag: Eingangsformel AdVermiStAnKoV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https://recht.nulegal.eu/gesetze/AdVermiStAnKoV/eingangsformel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