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9d AdVermiG 1976 — Durchführungsbestimmungen</w:t>
      </w:r>
    </w:p>
    <w:p>
      <w:r>
        <w:rPr>
          <w:color w:val="555555"/>
          <w:sz w:val="18"/>
        </w:rPr>
        <w:t xml:space="preserve">Adoptionsvermittlungsgesetz</w:t>
      </w:r>
    </w:p>
    <w:p>
      <w:r>
        <w:rPr>
          <w:color w:val="555555"/>
          <w:sz w:val="18"/>
        </w:rPr>
        <w:t xml:space="preserve">Stand: 10.07.2021 (konsolidierte Textfassung, kein amtliches Inkrafttretensdatum)</w:t>
      </w:r>
    </w:p>
    <w:p>
      <w:r>
        <w:t xml:space="preserve">(1) Das Bundesministerium für Familie, Senioren, Frauen und Jugend wird ermächtigt, im Einvernehmen mit dem Bundesministerium der Justiz und für Verbraucherschutz durch Rechtsverordnung mit Zustimmung des Bundesrates das Nähere über die Anerkennung und Beaufsichtigung von Adoptionsvermittlungsstellen nach § 2 Absatz 3 und den §§ 3 und 4, die Zusammenarbeit auf dem Gebiet der internationalen Adoptionsvermittlung nach § 2a Absatz 5 und 6, die sachdienlichen Ermittlungen nach § 7a, die Eignungsprüfung nach den §§ 7, 7b und 7c, die Bescheinigung nach § 7d, die Adoptionsbegleitung nach § 9 und die Gewährung von Akteneinsicht nach § 9c sowie über die von den Adoptionsvermittlungsstellen dabei zu beachtenden Grundsätze zu regeln. Durch Rechtsverordnung nach Satz 1 können insbesondere geregelt werden:</w:t>
      </w:r>
    </w:p>
    <w:p>
      <w:pPr>
        <w:ind w:left="420"/>
      </w:pPr>
      <w:r>
        <w:t xml:space="preserve">1. Zeitpunkt, Gliederung und Form der Meldungen nach § 2a Absatz 6 Satz 1 Nummer 1 und 2 sowie Satz 2;</w:t>
      </w:r>
    </w:p>
    <w:p>
      <w:pPr>
        <w:ind w:left="420"/>
      </w:pPr>
      <w:r>
        <w:t xml:space="preserve">2. Anforderungen an die persönliche und fachliche Eignung des Personals einer Adoptionsvermittlungsstelle (§ 3, § 4 Absatz 1 Satz 1 Nummer 1);</w:t>
      </w:r>
    </w:p>
    <w:p>
      <w:pPr>
        <w:ind w:left="420"/>
      </w:pPr>
      <w:r>
        <w:t xml:space="preserve">3. Anforderungen an die Arbeitsweise und die Finanzlage des Rechtsträgers einer Adoptionsvermittlungsstelle (§ 4 Absatz 1 Satz 1 Nummer 2);</w:t>
      </w:r>
    </w:p>
    <w:p>
      <w:pPr>
        <w:ind w:left="420"/>
      </w:pPr>
      <w:r>
        <w:t xml:space="preserve">4. besondere Anforderungen für die Zulassung zur internationalen Adoptionsvermittlung (§ 4 Absatz 2);</w:t>
      </w:r>
    </w:p>
    <w:p>
      <w:pPr>
        <w:ind w:left="420"/>
      </w:pPr>
      <w:r>
        <w:t xml:space="preserve">5. Antragstellung und vorzulegende Nachweise im Verfahren nach § 7d;</w:t>
      </w:r>
    </w:p>
    <w:p>
      <w:pPr>
        <w:ind w:left="420"/>
      </w:pPr>
      <w:r>
        <w:t xml:space="preserve">6. Zeitpunkt und Form der Unterrichtung der Annehmenden über das Leistungsangebot der Adoptionsbegleitung nach § 9 Absatz 1 und 2;</w:t>
      </w:r>
    </w:p>
    <w:p>
      <w:pPr>
        <w:ind w:left="420"/>
      </w:pPr>
      <w:r>
        <w:t xml:space="preserve">7. das Verfahren bei der Schließung einer Adoptionsvermittlungsstelle nach § 4a.</w:t>
      </w:r>
    </w:p>
    <w:p>
      <w:r>
        <w:t xml:space="preserve">(2) Durch Rechtsverordnung nach Absatz 1 Satz 1 kann ferner vorgesehen werden, dass die Träger der staatlichen Adoptionsvermittlungsstellen von den Adoptionsbewerbern für eine Eignungsprüfung nach den §§ 7, 7b und 7c oder für eine internationale Adoptionsvermittlung Gebühren sowie Auslagen für die Beschaffung von Urkunden, für Übersetzungen und für die Vergütung von Sachverständigen erheben. Die Gebührentatbestände und die Gebührenhöhe sind dabei zu bestimmen; für den einzelnen Vermittlungsfall darf die Gebührensumme 2 500 Euro nicht überschreiten. Solange das Bundesministerium für Familie, Senioren, Frauen und Jugend von der Ermächtigung nach Absatz 1 Satz 1 in Verbindung mit Satz 1 keinen Gebrauch gemacht hat, kann diese durch die Landesregierungen ausgeübt werden; die Landesregierungen können diese Ermächtigung durch Rechtsverordnung auf oberste Landesbehörden übertragen.</w:t>
      </w:r>
    </w:p>
    <w:p>
      <w:r>
        <w:rPr>
          <w:color w:val="555555"/>
          <w:sz w:val="17"/>
        </w:rPr>
        <w:t xml:space="preserve">Zitiervorschlag: § 9d AdVermiG 1976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https://recht.nulegal.eu/gesetze/AdVermiG%201976/9d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