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AdVermiG 1976 — Beginn der Adoptionspflege</w:t>
      </w:r>
    </w:p>
    <w:p>
      <w:r>
        <w:rPr>
          <w:color w:val="555555"/>
          <w:sz w:val="18"/>
        </w:rPr>
        <w:t xml:space="preserve">Adoptionsvermittlungsgesetz</w:t>
      </w:r>
    </w:p>
    <w:p>
      <w:r>
        <w:rPr>
          <w:color w:val="555555"/>
          <w:sz w:val="18"/>
        </w:rPr>
        <w:t xml:space="preserve">Stand: 10.07.2021 (konsolidierte Textfassung, kein amtliches Inkrafttretensdatum)</w:t>
      </w:r>
    </w:p>
    <w:p>
      <w:r>
        <w:t xml:space="preserve">Das Kind darf erst dann zur Eingewöhnung bei den Adoptionsbewerbern in Pflege gegeben werden (Adoptionspflege), wenn feststeht, dass die Adoptionsbewerber für die Annahme des Kindes geeignet sind.</w:t>
      </w:r>
    </w:p>
    <w:p>
      <w:r>
        <w:rPr>
          <w:color w:val="555555"/>
          <w:sz w:val="17"/>
        </w:rPr>
        <w:t xml:space="preserve">Zitiervorschlag: § 8 AdVermiG 1976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https://recht.nulegal.eu/gesetze/AdVermiG%201976/8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