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7b AdVermiG 1976 — Anspruch auf Durchführung der Eignungsprüfung bei der Adoption eines Kindes aus dem Ausland</w:t>
      </w:r>
    </w:p>
    <w:p>
      <w:r>
        <w:rPr>
          <w:color w:val="555555"/>
          <w:sz w:val="18"/>
        </w:rPr>
        <w:t xml:space="preserve">Adoptionsvermittlungsgesetz</w:t>
      </w:r>
    </w:p>
    <w:p>
      <w:r>
        <w:rPr>
          <w:color w:val="555555"/>
          <w:sz w:val="18"/>
        </w:rPr>
        <w:t xml:space="preserve">Stand: 10.07.2021 (konsolidierte Textfassung, kein amtliches Inkrafttretensdatum)</w:t>
      </w:r>
    </w:p>
    <w:p>
      <w:r>
        <w:t xml:space="preserve">(1) Auf Antrag der Adoptionsbewerber erfolgt eine Eignungsprüfung der Adoptionsbewerber zur Adoption eines Kindes mit gewöhnlichem Aufenthalt im Ausland durch eine örtliche Adoptionsvermittlungsstelle nach § 9b. Zur Eignungsprüfung sind auch die Adoptionsvermittlungsstellen nach § 2 Absatz 3 berechtigt.</w:t>
      </w:r>
    </w:p>
    <w:p>
      <w:r>
        <w:t xml:space="preserve">(2) Die Adoptionsvermittlungsstelle (§ 9b, § 2 Absatz 3) verfasst über das Ergebnis ihrer Eignungsprüfung einen Bericht, den sie einer von den Adoptionsbewerbern benannten Adoptionsvermittlungsstelle (§ 2a Absatz 4) zuleitet. § 7 Absatz 3 Satz 2 und 3 ist anzuwenden.</w:t>
      </w:r>
    </w:p>
    <w:p>
      <w:r>
        <w:t xml:space="preserve">(3) Erfolgt die Eignungsprüfung durch eine Adoptionsvermittlungsstelle nach § 2 Absatz 3, so darf diese Adoptionsvermittlungsstelle nicht zugleich die von den Adoptionsbewerbern benannte Adoptionsvermittlungsstelle nach § 2a Absatz 4 Nummer 2 sein.</w:t>
      </w:r>
    </w:p>
    <w:p>
      <w:r>
        <w:rPr>
          <w:color w:val="555555"/>
          <w:sz w:val="17"/>
        </w:rPr>
        <w:t xml:space="preserve">Zitiervorschlag: § 7b AdVermiG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https://recht.nulegal.eu/gesetze/AdVermiG%201976/7b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