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AdVermiG 1976 — Persönliche und fachliche Eignung der Mitarbeiter</w:t>
      </w:r>
    </w:p>
    <w:p>
      <w:r>
        <w:rPr>
          <w:color w:val="555555"/>
          <w:sz w:val="18"/>
        </w:rPr>
        <w:t xml:space="preserve">Adoptionsvermittlungsgesetz</w:t>
      </w:r>
    </w:p>
    <w:p>
      <w:r>
        <w:rPr>
          <w:color w:val="555555"/>
          <w:sz w:val="18"/>
        </w:rPr>
        <w:t xml:space="preserve">Stand: 10.07.2021 (konsolidierte Textfassung, kein amtliches Inkrafttretensdatum)</w:t>
      </w:r>
    </w:p>
    <w:p>
      <w:r>
        <w:t xml:space="preserve">(1) Mit der Adoptionsvermittlung dürfen nur Fachkräfte betraut werden, die dazu auf Grund ihrer Persönlichkeit, ihrer Ausbildung und ihrer beruflichen Erfahrung geeignet sind. Die gleichen Anforderungen gelten für Personen, die den mit der Adoptionsvermittlung betrauten Beschäftigten fachliche Weisungen erteilen können. Beschäftigte, die nicht unmittelbar mit Vermittlungsaufgaben betraut sind, müssen die Anforderungen erfüllen, die der ihnen übertragenen Verantwortung entsprechen.</w:t>
      </w:r>
    </w:p>
    <w:p>
      <w:r>
        <w:t xml:space="preserve">(2) Die Adoptionsvermittlungsstellen (§ 2 Absatz 1 und 3) sind mit mindestens zwei Vollzeitfachkräften oder einer entsprechenden Zahl von Teilzeitfachkräften zu besetzen; diese Fachkräfte dürfen nicht überwiegend mit vermittlungsfremden Aufgaben befasst sein. Die zentrale Adoptionsstelle des Landesjugendamtes kann Ausnahmen von Satz 1 zulassen.</w:t>
      </w:r>
    </w:p>
    <w:p>
      <w:r>
        <w:rPr>
          <w:color w:val="555555"/>
          <w:sz w:val="17"/>
        </w:rPr>
        <w:t xml:space="preserve">Zitiervorschlag: § 3 AdVermiG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https://recht.nulegal.eu/gesetze/AdVermiG%201976/3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