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2c AdVermiG 1976 — Grundsätze der internationalen Adoptionsvermittlung</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Bei der internationalen Adoptionsvermittlung (§ 2a Absatz 1 Satz 1 und 2 und Absatz 2) hat die Adoptionsvermittlungsstelle (§ 9b und § 2 Absatz 3) die allgemeine Eignung der Adoptionsbewerber nach den §§ 7 und 7b und die Adoptionsvermittlungsstelle (§ 2a Absatz 4) die länderspezifische Eignung der Adoptionsbewerber nach § 7c zu prüfen.</w:t>
      </w:r>
    </w:p>
    <w:p>
      <w:r>
        <w:t xml:space="preserve">(2) Die Adoptionsvermittlungsstelle (§ 2a Absatz 4) hat sich zu vergewissern, dass im Heimatstaat des Kindes eine für die Adoptionsvermittlung zuständige und zur Zusammenarbeit bereite Fachstelle (Fachstelle des Heimatstaats) besteht und die Adoption gesetzlich zugelassen ist.</w:t>
      </w:r>
    </w:p>
    <w:p>
      <w:r>
        <w:t xml:space="preserve">(3) Die Adoptionsvermittlungsstelle (§ 2a Absatz 4) hat sich bei der Prüfung des Kindervorschlags der Fachstelle des Heimatstaats zu vergewissern, dass</w:t>
      </w:r>
    </w:p>
    <w:p>
      <w:pPr>
        <w:ind w:left="420"/>
      </w:pPr>
      <w:r>
        <w:t xml:space="preserve">1. die Adoption dem Kindeswohl dient,</w:t>
      </w:r>
    </w:p>
    <w:p>
      <w:pPr>
        <w:ind w:left="420"/>
      </w:pPr>
      <w:r>
        <w:t xml:space="preserve">2. das Kind adoptiert werden kann und dass keine Anhaltspunkte dafür vorliegen, dass eine geeignete Unterbringung des Kindes im Heimatstaat nach Prüfung durch die Fachstelle des Heimatstaats möglich ist,</w:t>
      </w:r>
    </w:p>
    <w:p>
      <w:pPr>
        <w:ind w:left="420"/>
      </w:pPr>
      <w:r>
        <w:t xml:space="preserve">3. die Eltern oder andere Personen, Behörden und Institutionen, deren Zustimmung zur Adoption erforderlich ist, über die Wirkungen der Adoption aufgeklärt wurden und freiwillig und in der gesetzlich vorgeschriebenen Form der Adoption des Kindes zugestimmt haben und die Eltern ihre Zustimmung nicht widerrufen haben,</w:t>
      </w:r>
    </w:p>
    <w:p>
      <w:pPr>
        <w:ind w:left="420"/>
      </w:pPr>
      <w:r>
        <w:t xml:space="preserve">4. unter Berücksichtigung des Alters und der Reife des Kindes das Kind über die Wirkungen der Adoption aufgeklärt wurde, seine Wünsche berücksichtigt wurden und das Kind freiwillig und in der gesetzlich vorgeschriebenen Form der Adoption zugestimmt hat und</w:t>
      </w:r>
    </w:p>
    <w:p>
      <w:pPr>
        <w:ind w:left="420"/>
      </w:pPr>
      <w:r>
        <w:t xml:space="preserve">5. keine Anhaltspunkte dafür vorliegen, dass die Zustimmung zur Adoption weder der Eltern noch des Kindes durch eine Geldzahlung oder eine andere Gegenleistung herbeigeführt wurde.</w:t>
      </w:r>
    </w:p>
    <w:p>
      <w:r>
        <w:t xml:space="preserve">Die Adoptionsvermittlungsstelle hat den Kindervorschlag der Fachstelle des Heimatstaats daraufhin zu prüfen, ob die Adoptionsbewerber geeignet sind, für das Kind zu sorgen. In den Fällen des § 2a Absatz 1 Satz 3 gilt Absatz 3 Satz 1 und 2 entsprechend. Das Ergebnis der Prüfung nach den Sätzen 1 und 2 ist zu den Akten zu nehmen.</w:t>
      </w:r>
    </w:p>
    <w:p>
      <w:r>
        <w:t xml:space="preserve">(4) Die Adoptionsvermittlungsstelle (§ 2a Absatz 4) kann den Vermittlungsvorschlag der Fachstelle des Heimatstaats nur billigen, wenn das Ergebnis der Eignungsprüfung, der länderspezifischen Eignungsprüfung sowie der Prüfung nach Absatz 3 Satz 4 positiv festgestellt ist.</w:t>
      </w:r>
    </w:p>
    <w:p>
      <w:r>
        <w:t xml:space="preserve">(5) Hat die Adoptionsvermittlungsstelle (§ 2a Absatz 4) den Vermittlungsvorschlag der Fachstelle des Heimatstaats gebilligt, so eröffnet sie den Adoptionsbewerbern den Vermittlungsvorschlag und berät sie über dessen Annahme. Nehmen die Adoptionsbewerber den Vermittlungsvorschlag an, so gibt die Adoptionsvermittlungsstelle eine Erklärung ab, dass sie der Fortsetzung des Adoptionsverfahrens zustimmt.</w:t>
      </w:r>
    </w:p>
    <w:p>
      <w:r>
        <w:t xml:space="preserve">(6) Die Adoptionsvermittlungsstelle (§ 2a Absatz 4 Nummer 2) leitet die Erklärung nach Absatz 5 Satz 2 an die zentralen Adoptionsstellen des Landesjugendamtes nach § 11 Absatz 2 weiter. Die Adoptionsvermittlungsstelle (§ 2a Absatz 4) leitet die Erklärung nach Absatz 5 Satz 2 an die Fachstelle des Heimatstaats weiter.</w:t>
      </w:r>
    </w:p>
    <w:p>
      <w:r>
        <w:rPr>
          <w:color w:val="555555"/>
          <w:sz w:val="17"/>
        </w:rPr>
        <w:t xml:space="preserve">Zitiervorschlag: § 2c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