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AdVermiG 1976 — Unbegleitete Auslandsadoption</w:t>
      </w:r>
    </w:p>
    <w:p>
      <w:r>
        <w:rPr>
          <w:color w:val="555555"/>
          <w:sz w:val="18"/>
        </w:rPr>
        <w:t xml:space="preserve">Adoptionsvermittlungsgesetz</w:t>
      </w:r>
    </w:p>
    <w:p>
      <w:r>
        <w:rPr>
          <w:color w:val="555555"/>
          <w:sz w:val="18"/>
        </w:rPr>
        <w:t xml:space="preserve">Stand: 10.07.2021 (konsolidierte Textfassung, kein amtliches Inkrafttretensdatum)</w:t>
      </w:r>
    </w:p>
    <w:p>
      <w:r>
        <w:t xml:space="preserve">Ein internationales Adoptionsverfahren ist untersagt, wenn es ohne die Vermittlung durch eine Adoptionsvermittlungsstelle (§ 2a Absatz 4) durchgeführt werden soll.</w:t>
      </w:r>
    </w:p>
    <w:p>
      <w:r>
        <w:rPr>
          <w:color w:val="555555"/>
          <w:sz w:val="17"/>
        </w:rPr>
        <w:t xml:space="preserve">Zitiervorschlag: § 2b AdVermiG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https://recht.nulegal.eu/gesetze/AdVermiG%201976/2b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