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AdLDAV — Verfahren der Datenübermittlung</w:t>
      </w:r>
    </w:p>
    <w:p>
      <w:r>
        <w:rPr>
          <w:color w:val="555555"/>
          <w:sz w:val="18"/>
        </w:rPr>
        <w:t xml:space="preserve">Alterssicherung der Landwirte/Datenabgleichsverordnung</w:t>
      </w:r>
    </w:p>
    <w:p>
      <w:r>
        <w:rPr>
          <w:color w:val="555555"/>
          <w:sz w:val="18"/>
        </w:rPr>
        <w:t xml:space="preserve">Stand: 04.07.2020 (konsolidierte Textfassung, kein amtliches Inkrafttretensdatum)</w:t>
      </w:r>
    </w:p>
    <w:p>
      <w:r>
        <w:t xml:space="preserve">(1) Die Datenübermittlung erfolgt durch Datenfernübertragung.</w:t>
      </w:r>
    </w:p>
    <w:p>
      <w:r>
        <w:t xml:space="preserve">(2) Werden Mängel festgestellt, die eine ordnungsgemäße Übernahme der Daten beeinträchtigen, kann die Übernahme der Daten abgelehnt werden. Der Absender ist über die festgestellten Mängel zu unterrichten.</w:t>
      </w:r>
    </w:p>
    <w:p>
      <w:r>
        <w:t xml:space="preserve">(3) Die in den folgenden Vorschriften genannten DIN-Normen sind vom Deutschen Institut für Normung e. V., Berlin, herausgegeben, bei der Beuth-Verlag GmbH, Burggrafenstraße 4-10, 10787 Berlin, beziehbar und beim Bundesarchiv, Potsdamer Straße 1, 56075 Koblenz, jedermann zugänglich und archivmäßig gesichert niedergelegt.</w:t>
      </w:r>
    </w:p>
    <w:p>
      <w:r>
        <w:rPr>
          <w:color w:val="555555"/>
          <w:sz w:val="17"/>
        </w:rPr>
        <w:t xml:space="preserve">Zitiervorschlag: § 7 AdLDAV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https://recht.nulegal.eu/gesetze/AdLDAV/7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