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AdLDAV — Anfragedatensatz</w:t>
      </w:r>
    </w:p>
    <w:p>
      <w:r>
        <w:rPr>
          <w:color w:val="555555"/>
          <w:sz w:val="18"/>
        </w:rPr>
        <w:t xml:space="preserve">Alterssicherung der Landwirte/Datenabgleichsverordnung</w:t>
      </w:r>
    </w:p>
    <w:p>
      <w:r>
        <w:rPr>
          <w:color w:val="555555"/>
          <w:sz w:val="18"/>
        </w:rPr>
        <w:t xml:space="preserve">Stand: 10.06.2019 (konsolidierte Textfassung, kein amtliches Inkrafttretensdatum)</w:t>
      </w:r>
    </w:p>
    <w:p>
      <w:r>
        <w:t xml:space="preserve">Die landwirtschaftliche Alterskasse bestimmt nach Anhörung der Vermittlungsstellen und des Bundesbeauftragten für den Datenschutz und die Informationsfreiheit im Einvernehmen mit dem Bundesministerium für Arbeit und Soziales und dem Bundesministerium für Ernährung und Landwirtschaft die Gestaltung des Anfragedatensatzes.</w:t>
      </w:r>
    </w:p>
    <w:p>
      <w:r>
        <w:rPr>
          <w:color w:val="555555"/>
          <w:sz w:val="17"/>
        </w:rPr>
        <w:t xml:space="preserve">Zitiervorschlag: § 6 AdLDAV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https://recht.nulegal.eu/gesetze/AdLDAV/6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