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AdLDAV — Datenabgleich</w:t>
      </w:r>
    </w:p>
    <w:p>
      <w:r>
        <w:rPr>
          <w:color w:val="555555"/>
          <w:sz w:val="18"/>
        </w:rPr>
        <w:t xml:space="preserve">Alterssicherung der Landwirte/Datenabgleichsverordnung</w:t>
      </w:r>
    </w:p>
    <w:p>
      <w:r>
        <w:rPr>
          <w:color w:val="555555"/>
          <w:sz w:val="18"/>
        </w:rPr>
        <w:t xml:space="preserve">Stand: 10.06.2019 (konsolidierte Textfassung, kein amtliches Inkrafttretensdatum)</w:t>
      </w:r>
    </w:p>
    <w:p>
      <w:r>
        <w:t xml:space="preserve">Der Datenabgleich erstreckt sich auf die Feststellung, wann und für welches Veranlagungsjahr Einkommensteuerbescheide ausgefertigt wurden, und auf die in diesen Einkommensteuerbescheiden ausgewiesenen Einkünfte im Sinne von § 2 Absatz 1 und 2 des Einkommensteuergesetzes, aufgeteilt nach den verschiedenen Einkunftsarten. Zusätzlich ist mitzuteilen, ob die Einkünfte aus Land- und Forstwirtschaft entweder nach § 4 des Einkommensteuergesetzes oder nach § 13a des Einkommensteuergesetzes ermittelt wurden, ob und welche Einkünfte nach § 22 des Einkommensteuergesetzes erzielt wurden und ob der Progressionsvorbehalt nach § 32b des Einkommensteuergesetzes angewendet wurde. Bezeichnet der übermittelte Anfragedatensatz einen bereits vorliegenden Einkommensteuerbescheid, bleiben dieser sowie zeitlich vor diesem ausgefertigte Einkommensteuerbescheide für frühere Veranlagungsjahre beim Abgleich unberücksichtigt. Unberücksichtigt bleiben auch Veranlagungsjahre, die im Zeitpunkt des Datenabgleichs mehr als sechs Jahre zurückliegen.</w:t>
      </w:r>
    </w:p>
    <w:p>
      <w:r>
        <w:rPr>
          <w:color w:val="555555"/>
          <w:sz w:val="17"/>
        </w:rPr>
        <w:t xml:space="preserve">Zitiervorschlag: § 4 AdLDAV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https://recht.nulegal.eu/gesetze/AdLDAV/4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