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AdLDAV — Datenübermittlung an die Vermittlungsstellen</w:t>
      </w:r>
    </w:p>
    <w:p>
      <w:r>
        <w:rPr>
          <w:color w:val="555555"/>
          <w:sz w:val="18"/>
        </w:rPr>
        <w:t xml:space="preserve">Alterssicherung der Landwirte/Datenabgleichsverordnung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landwirtschaftliche Alterskasse übermittelt für jede in den Datenabgleich einzubeziehende Person die in § 61a Absatz 1 Satz 2 des Gesetzes über die Alterssicherung der Landwirte genannten Daten (Anfragedatensatz) an die für die betreffende Person (§ 1 Satz 2) zuständige Vermittlungsstelle. Weitere personenbezogene Daten darf der Anfragedatensatz nicht enthalten.</w:t>
      </w:r>
    </w:p>
    <w:p>
      <w:r>
        <w:t xml:space="preserve">(2) Die Datenübermittlung erfolgt monatlich bis zum dritten Tag dieses Kalendermonats. In die Datenübermittlung werden alle der landwirtschaftlichen Alterskasse bis zum ersten Tag des betreffenden Kalendermonats zugeleiteten Meldungen nach Absatz 1 einbezogen.</w:t>
      </w:r>
    </w:p>
    <w:p>
      <w:r>
        <w:rPr>
          <w:color w:val="555555"/>
          <w:sz w:val="17"/>
        </w:rPr>
        <w:t xml:space="preserve">Zitiervorschlag: § 3 AdLDAV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https://recht.nulegal.eu/gesetze/AdLDAV/3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