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AdLDAV — Inkrafttreten</w:t>
      </w:r>
    </w:p>
    <w:p>
      <w:r>
        <w:rPr>
          <w:color w:val="555555"/>
          <w:sz w:val="18"/>
        </w:rPr>
        <w:t xml:space="preserve">Alterssicherung der Landwirte/Datenabgleichsverordnung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AdLDAV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https://recht.nulegal.eu/gesetze/AdLDAV/11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