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AdKG — Mitgliederversammlung</w:t>
      </w:r>
    </w:p>
    <w:p>
      <w:r>
        <w:rPr>
          <w:color w:val="555555"/>
          <w:sz w:val="18"/>
        </w:rPr>
        <w:t xml:space="preserve">Gesetz zur Errichtung der Akademie der Künste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Mitgliederversammlung der Akademie der Künste gehören alle Mitglieder an, die Ehrenmitglieder mit beratender Stimme. Die Mitgliederversammlung wird vom Präsidenten oder von der Präsidentin einberufen.</w:t>
      </w:r>
    </w:p>
    <w:p>
      <w:r>
        <w:t xml:space="preserve">(2) Die Mitgliederversammlung soll mindestens einmal in jedem Kalenderjahr zusammentreten. Sie muss einberufen werden, wenn der Senat es beschließt oder mindestens 30 Mitglieder es schriftlich oder elektronisch verlangen.</w:t>
      </w:r>
    </w:p>
    <w:p>
      <w:r>
        <w:t xml:space="preserve">(3) Die Mitgliederversammlung beschließt die Satzung mit der Mehrheit von zwei Dritteln der anwesenden Mitglieder.</w:t>
      </w:r>
    </w:p>
    <w:p>
      <w:r>
        <w:rPr>
          <w:color w:val="555555"/>
          <w:sz w:val="17"/>
        </w:rPr>
        <w:t xml:space="preserve">Zitiervorschlag: § 6 AdKG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https://recht.nulegal.eu/gesetze/AdKG/6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