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AdKG — Satzung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Akademie der Künste gibt sich eine Satzung, die der Genehmigung im Rahmen der Rechtsaufsicht bedarf. Das Gleiche gilt für Änderungen der Satzung.</w:t>
      </w:r>
    </w:p>
    <w:p>
      <w:r>
        <w:t xml:space="preserve">(2) In der Satzung ist die Einrichtung eines Verwaltungsbeirates vorzusehen. Diesem gehören an:</w:t>
      </w:r>
    </w:p>
    <w:p>
      <w:pPr>
        <w:ind w:left="420"/>
      </w:pPr>
      <w:r>
        <w:t xml:space="preserve">a) der Bund als Zuschussgeber mit der Mehrheit der Stimmen,</w:t>
      </w:r>
    </w:p>
    <w:p>
      <w:pPr>
        <w:ind w:left="420"/>
      </w:pPr>
      <w:r>
        <w:t xml:space="preserve">b) ein Vertreter des Landes Brandenburg,</w:t>
      </w:r>
    </w:p>
    <w:p>
      <w:pPr>
        <w:ind w:left="420"/>
      </w:pPr>
      <w:r>
        <w:t xml:space="preserve">c) ein Vertreter des Landes Berlin,</w:t>
      </w:r>
    </w:p>
    <w:p>
      <w:pPr>
        <w:ind w:left="420"/>
      </w:pPr>
      <w:r>
        <w:t xml:space="preserve">d) der Präsident oder die Präsidentin,</w:t>
      </w:r>
    </w:p>
    <w:p>
      <w:pPr>
        <w:ind w:left="420"/>
      </w:pPr>
      <w:r>
        <w:t xml:space="preserve">e) die Geschäftsführung.</w:t>
      </w:r>
    </w:p>
    <w:p>
      <w:r>
        <w:t xml:space="preserve">Der Verwaltungsbeirat ist mit den Wirtschafts- und Personalangelegenheiten der Akademie der Künste zu befassen.</w:t>
      </w:r>
    </w:p>
    <w:p>
      <w:r>
        <w:rPr>
          <w:color w:val="555555"/>
          <w:sz w:val="17"/>
        </w:rPr>
        <w:t xml:space="preserve">Zitiervorschlag: § 3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