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AdKG — Beschäftigte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Akademie beschäftigt Arbeitnehmerinnen und Arbeitnehmer. Auf diese sind die für Arbeitnehmerinnen und Arbeitnehmer des Bundes jeweils geltenden Tarifverträge und sonstigen Bestimmungen anzuwenden.</w:t>
      </w:r>
    </w:p>
    <w:p>
      <w:r>
        <w:t xml:space="preserve">(2) Die Satzung soll die Befristung der Funktionen der Mitglieder der Geschäftsführung, des Präsidialsekretärs oder der Präsidialsekretärin und der Sekretäre oder Sekretärinnen vorsehen.</w:t>
      </w:r>
    </w:p>
    <w:p>
      <w:r>
        <w:t xml:space="preserve">(3) Die Akademie der Künste übernimmt alle Rechte und Pflichten aus den bestehenden Arbeits- und Ausbildungsverhältnissen der bisherigen landesunmittelbaren Körperschaft Akademie der Künste.</w:t>
      </w:r>
    </w:p>
    <w:p>
      <w:r>
        <w:rPr>
          <w:color w:val="555555"/>
          <w:sz w:val="17"/>
        </w:rPr>
        <w:t xml:space="preserve">Zitiervorschlag: § 12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