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AdKG — Geschäftsführung</w:t>
      </w:r>
    </w:p>
    <w:p>
      <w:r>
        <w:rPr>
          <w:color w:val="555555"/>
          <w:sz w:val="18"/>
        </w:rPr>
        <w:t xml:space="preserve">Gesetz zur Errichtung der Akademie der Künste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Geschäftsführung der Akademie der Künste wird nach Maßgabe der Satzung unter Leitung des Präsidenten oder der Präsidentin durch hauptamtliche Beauftragte für die Bereiche Programm, Archiv und Verwaltung wahrgenommen.</w:t>
      </w:r>
    </w:p>
    <w:p>
      <w:r>
        <w:rPr>
          <w:color w:val="555555"/>
          <w:sz w:val="17"/>
        </w:rPr>
        <w:t xml:space="preserve">Zitiervorschlag: § 11 AdKG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https://recht.nulegal.eu/gesetze/AdKG/11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