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AdKG — Archiv</w:t>
      </w:r>
    </w:p>
    <w:p>
      <w:r>
        <w:rPr>
          <w:color w:val="555555"/>
          <w:sz w:val="18"/>
        </w:rPr>
        <w:t xml:space="preserve">Gesetz zur Errichtung der Akademie der Künste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Akademie der Künste hat ein Archiv, für das im Rahmen der Geschäftsführung der Direktor oder die Direktorin des Archivs zuständig ist.</w:t>
      </w:r>
    </w:p>
    <w:p>
      <w:r>
        <w:t xml:space="preserve">(2) Die Sammlungsgebiete des Archivs umfassen die Geschichte der Akademien der Künste in Berlin seit der Gründung der späteren Preußischen Akademie der Künste sowie sämtliche Kunstsparten.</w:t>
      </w:r>
    </w:p>
    <w:p>
      <w:r>
        <w:t xml:space="preserve">(3) In der Satzung sind Einrichtung und Aufgaben eines Archiv-Rates zu regeln.</w:t>
      </w:r>
    </w:p>
    <w:p>
      <w:r>
        <w:rPr>
          <w:color w:val="555555"/>
          <w:sz w:val="17"/>
        </w:rPr>
        <w:t xml:space="preserve">Zitiervorschlag: § 10 AdKG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https://recht.nulegal.eu/gesetze/AdKG/10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