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AdG</w:t>
      </w:r>
    </w:p>
    <w:p>
      <w:r>
        <w:rPr>
          <w:color w:val="555555"/>
          <w:sz w:val="18"/>
        </w:rPr>
        <w:t xml:space="preserve">Adoptionsgesetz</w:t>
      </w:r>
    </w:p>
    <w:p>
      <w:r>
        <w:rPr>
          <w:color w:val="555555"/>
          <w:sz w:val="18"/>
        </w:rPr>
        <w:t xml:space="preserve">Stand: 10.06.2019 (konsolidierte Textfassung, kein amtliches Inkrafttretensdatum)</w:t>
      </w:r>
    </w:p>
    <w:p>
      <w:r>
        <w:t xml:space="preserve">Hat im Zeitpunkt des Inkrafttretens dieses Gesetzes der Annehmende oder das Kind den Antrag auf Bestätigung eines Vertrages über die Annahme oder auf Bestätigung eines Vertrages über die Aufhebung der Annahme an Kindes Statt bei dem zuständigen Gericht eingereicht oder bei oder nach der notariellen Beurkundung des Vertrages den Notar mit der Einreichung betraut, so kann die Bestätigung nach den bisher geltenden Vorschriften erfolgen. § 15 Abs. 1 Satz 3 des Personenstandsgesetzes ist in diesem Fall in der bisher geltenden Fassung anzuwenden.</w:t>
      </w:r>
    </w:p>
    <w:p>
      <w:r>
        <w:rPr>
          <w:color w:val="555555"/>
          <w:sz w:val="17"/>
        </w:rPr>
        <w:t xml:space="preserve">Zitiervorschlag: § 5 AdG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https://recht.nulegal.eu/gesetze/AdG/5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