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AdG</w:t>
      </w:r>
    </w:p>
    <w:p>
      <w:r>
        <w:rPr>
          <w:color w:val="555555"/>
          <w:sz w:val="18"/>
        </w:rPr>
        <w:t xml:space="preserve">Adoptionsgesetz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eine Erklärung nach § 2 Abs. 2 Satz 2 abgegeben, so werden auf das Annahmeverhältnis nach Ablauf der in § 2 Abs. 1 bestimmten Frist die Vorschriften dieses Gesetzes über die Annahme Volljähriger angewandt.</w:t>
      </w:r>
    </w:p>
    <w:p>
      <w:r>
        <w:t xml:space="preserve">(2) Die Vorschriften des § 1 Abs. 2 bis 5 und des § 2 Abs. 2 Satz 1 Halbsatz 3 werden entsprechend angewandt. § 1761 des Bürgerlichen Gesetzbuchs ist anzuwenden. Solange der an Kindes Statt Angenommene minderjährig ist, kann das Annahmeverhältnis auch nach § 1763 Abs. 1, 2 des Bürgerlichen Gesetzbuchs in der Fassung dieses Gesetzes aufgehoben werden.</w:t>
      </w:r>
    </w:p>
    <w:p>
      <w:r>
        <w:rPr>
          <w:color w:val="555555"/>
          <w:sz w:val="17"/>
        </w:rPr>
        <w:t xml:space="preserve">Zitiervorschlag: § 3 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