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AdG</w:t>
      </w:r>
    </w:p>
    <w:p>
      <w:r>
        <w:rPr>
          <w:color w:val="555555"/>
          <w:sz w:val="18"/>
        </w:rPr>
        <w:t xml:space="preserve">Adoptionsgesetz</w:t>
      </w:r>
    </w:p>
    <w:p>
      <w:r>
        <w:rPr>
          <w:color w:val="555555"/>
          <w:sz w:val="18"/>
        </w:rPr>
        <w:t xml:space="preserve">Stand: 10.06.2019 (konsolidierte Textfassung, kein amtliches Inkrafttretensdatum)</w:t>
      </w:r>
    </w:p>
    <w:p>
      <w:r>
        <w:t xml:space="preserve">(1) Ist der nach den bisher geltenden Vorschriften an Kindes Statt Angenommene im Zeitpunkt des Inkrafttretens dieses Gesetzes volljährig, so werden auf das Annahmeverhältnis die Vorschriften dieses Gesetzes über die Annahme Volljähriger angewandt, soweit sich nicht aus den Absätzen 2 bis 6 ein anderes ergibt.</w:t>
      </w:r>
    </w:p>
    <w:p>
      <w:r>
        <w:t xml:space="preserve">(2) Auf einen Abkömmling des Kindes, auf den sich die Wirkungen der Annahme an Kindes Statt nicht erstreckt haben, werden die Wirkungen der Annahme nicht ausgedehnt.</w:t>
      </w:r>
    </w:p>
    <w:p>
      <w:r>
        <w:t xml:space="preserve">(3) Hat das von einer Frau angenommene Kind den Namen erhalten, den die Frau vor der Verheiratung geführt hat, so führt es diesen Namen weiter.</w:t>
      </w:r>
    </w:p>
    <w:p>
      <w:r>
        <w:t xml:space="preserve">(4) Für die erbrechtlichen Verhältnisse bleiben, wenn der Erblasser vor dem Inkrafttreten dieses Gesetzes gestorben ist, die bisher geltenden Vorschriften maßgebend.</w:t>
      </w:r>
    </w:p>
    <w:p>
      <w:r>
        <w:t xml:space="preserve">(5) Ist in dem Annahmevertrag das Erbrecht des Kindes dem Annehmenden gegenüber ausgeschlossen worden, so bleibt dieser Ausschluß unberührt; in diesem Fall hat auch der Annehmende kein Erbrecht.</w:t>
      </w:r>
    </w:p>
    <w:p>
      <w:r>
        <w:t xml:space="preserve">(6) § 1761 Abs. 1 des Bürgerlichen Gesetzbuchs in der Fassung dieses Gesetzes ist entsprechend anzuwenden. Die in § 1762 Abs. 2 des Bürgerlichen Gesetzbuchs in der Fassung dieses Gesetzes bezeichneten Fristen beginnen frühestens mit dem Inkrafttreten dieses Gesetzes.</w:t>
      </w:r>
    </w:p>
    <w:p>
      <w:r>
        <w:rPr>
          <w:color w:val="555555"/>
          <w:sz w:val="17"/>
        </w:rPr>
        <w:t xml:space="preserve">Zitiervorschlag: § 1 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