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AdÜbAG — Einreise und Aufenthalt</w:t>
      </w:r>
    </w:p>
    <w:p>
      <w:r>
        <w:rPr>
          <w:color w:val="555555"/>
          <w:sz w:val="18"/>
        </w:rPr>
        <w:t xml:space="preserve">Adoptionsübereinkommens-Ausführungsgesetz</w:t>
      </w:r>
    </w:p>
    <w:p>
      <w:r>
        <w:rPr>
          <w:color w:val="555555"/>
          <w:sz w:val="18"/>
        </w:rPr>
        <w:t xml:space="preserve">Stand: 10.06.2019 (konsolidierte Textfassung, kein amtliches Inkrafttretensdatum)</w:t>
      </w:r>
    </w:p>
    <w:p>
      <w:r>
        <w:t xml:space="preserve">(1) Zum Zwecke der Herstellung und Wahrung einer familiären Lebensgemeinschaft zwischen den Adoptionsbewerbern und dem aufzunehmenden Kind finden auf dessen Einreise und Aufenthalt die Vorschriften des Aufenthaltsgesetzes über den Kindernachzug vor dem Vollzug der Annahme entsprechende Anwendung, sobald</w:t>
      </w:r>
    </w:p>
    <w:p>
      <w:pPr>
        <w:ind w:left="420"/>
      </w:pPr>
      <w:r>
        <w:t xml:space="preserve">1. die Auslandsvermittlungsstelle den Vermittlungsvorschlag der zentralen Behörde des Heimatstaates nach § 5 Abs. 1 Satz 1 gebilligt hat und</w:t>
      </w:r>
    </w:p>
    <w:p>
      <w:pPr>
        <w:ind w:left="420"/>
      </w:pPr>
      <w:r>
        <w:t xml:space="preserve">2. die Adoptionsbewerber sich gemäß § 7 Abs. 1 mit dem Vermittlungsvorschlag einverstanden erklärt haben.</w:t>
      </w:r>
    </w:p>
    <w:p>
      <w:r>
        <w:t xml:space="preserve">(2) Auf Ersuchen der Auslandsvermittlungsstelle stimmt die Ausländerbehörde der Erteilung eines erforderlichen Sichtvermerks vorab zu, sofern die Voraussetzungen des Absatzes 1 erfüllt sind und ausländerrechtliche Vorschriften nicht entgegenstehen. Der Sichtvermerk wird dem Kind von Amts wegen erteilt, wenn die Auslandsvermittlungsstelle darum ersucht und ausländerrechtliche Vorschriften nicht entgegenstehen.</w:t>
      </w:r>
    </w:p>
    <w:p>
      <w:r>
        <w:t xml:space="preserve">(3) Entfällt der in Absatz 1 genannte Aufenthaltszweck, so wird die dem Kind erteilte Aufenthaltserlaubnis als eigenständiges Aufenthaltsrecht befristet verlängert, solange nicht die Voraussetzungen für die Erteilung einer Niederlassungserlaubnis vorliegen oder die zuständige Stelle nach Artikel 21 Abs. 1 Buchstabe c des Übereinkommens die Rückkehr des Kindes in seinen Heimatstaat veranlasst.</w:t>
      </w:r>
    </w:p>
    <w:p>
      <w:r>
        <w:rPr>
          <w:color w:val="555555"/>
          <w:sz w:val="17"/>
        </w:rPr>
        <w:t xml:space="preserve">Zitiervorschlag: § 6 AdÜbAG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https://recht.nulegal.eu/gesetze/Ad%C3%9CbAG/6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