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AdÜbAG — Adoptionsbewerbung</w:t>
      </w:r>
    </w:p>
    <w:p>
      <w:r>
        <w:rPr>
          <w:color w:val="555555"/>
          <w:sz w:val="18"/>
        </w:rPr>
        <w:t xml:space="preserve">Adoptionsübereinkommens-Ausführungsgesetz</w:t>
      </w:r>
    </w:p>
    <w:p>
      <w:r>
        <w:rPr>
          <w:color w:val="555555"/>
          <w:sz w:val="18"/>
        </w:rPr>
        <w:t xml:space="preserve">Stand: 01.04.2021 (konsolidierte Textfassung, kein amtliches Inkrafttretensdatum)</w:t>
      </w:r>
    </w:p>
    <w:p>
      <w:r>
        <w:t xml:space="preserve">(1) Adoptionsbewerber mit gewöhnlichem Aufenthalt im Inland richten ihre Bewerbung entweder an die zentrale Adoptionsstelle oder an eine der anerkannten Auslandsvermittlungsstellen im Sinne des § 1 Absatz 2.</w:t>
      </w:r>
    </w:p>
    <w:p>
      <w:r>
        <w:t xml:space="preserve">(2) Den Adoptionsbewerbern obliegt es,</w:t>
      </w:r>
    </w:p>
    <w:p>
      <w:pPr>
        <w:ind w:left="420"/>
      </w:pPr>
      <w:r>
        <w:t xml:space="preserve">1. anzugeben, aus welchem Heimatstaat sie ein Kind annehmen möchten,</w:t>
      </w:r>
    </w:p>
    <w:p>
      <w:pPr>
        <w:ind w:left="420"/>
      </w:pPr>
      <w:r>
        <w:t xml:space="preserve">2. an den Voraussetzungen für die Vorlage der Berichte nach § 7b Absatz 2 Satz 1 und § 7c Absatz 2 Satz 2 des Adoptionsvermittlungsgesetzes mitzuwirken und</w:t>
      </w:r>
    </w:p>
    <w:p>
      <w:pPr>
        <w:ind w:left="420"/>
      </w:pPr>
      <w:r>
        <w:t xml:space="preserve">3. zu versichern, dass eine weitere Bewerbung um die Vermittlung eines Kindes aus dem Ausland nicht anhängig ist.</w:t>
      </w:r>
    </w:p>
    <w:p>
      <w:r>
        <w:t xml:space="preserve">(3) Die Auslandsvermittlungsstelle berät die Adoptionsbewerber. Sie teilt den Adoptionsbewerbern rechtzeitig vor der ersten Übermittlung personenbezogener Daten an den Heimatstaat mit, inwieweit nach ihrem Kenntnisstand in dem Heimatstaat der Schutz des Adoptionsgeheimnisses und anderer personenbezogener Daten sowie die Haftung für eine unzulässige oder unrichtige Verarbeitung personenbezogener Daten gewährleistet sind, und weist die Adoptionsbewerber auf insoweit bestehende Gefahren hin.</w:t>
      </w:r>
    </w:p>
    <w:p>
      <w:r>
        <w:t xml:space="preserve">(4) Die Auslandsvermittlungsstelle kann eigene Ermittlungen anstellen und nach Beteiligung der für den gewöhnlichen Aufenthaltsort der Adoptionsbewerber zuständigen örtlichen Vermittlungsstelle (§ 9b des Adoptionsvermittlungsgesetzes) sowie unter Einhaltung der in den §§ 7b und 7c des Adoptionsvermittlungsgesetzes geregelten Verfahrensvorschriften den in § 7c Absatz 3 des Adoptionsvermittlungsgesetzes genannten Bericht selbst erstellen.</w:t>
      </w:r>
    </w:p>
    <w:p>
      <w:r>
        <w:t xml:space="preserve">(5) Hat sich die Auslandsvermittlungsstelle von der Eignung der Adoptionsbewerber überzeugt, so leitet sie die erforderlichen Bewerbungsunterlagen einschließlich eines Berichts nach Artikel 15 des Übereinkommens der zentralen Behörde des Heimatstaates zu. Die Übermittlung bedarf der Einwilligung der Adoptionsbewerber.</w:t>
      </w:r>
    </w:p>
    <w:p>
      <w:r>
        <w:t xml:space="preserve">(6) Auf Antrag der Adoptionsbewerber wirkt die Bundeszentralstelle bei der Übermittlung nach Absatz 5 und bei der Übermittlung sonstiger die Bewerbung betreffender Mitteilungen an die zentrale Behörde des Heimatstaates mit. Sie soll ihre Mitwirkung versagen, wenn die beantragte Übermittlung nach Form oder Inhalt den Bestimmungen des Übereinkommens oder des Heimatstaates erkennbar nicht genügt.</w:t>
      </w:r>
    </w:p>
    <w:p>
      <w:r>
        <w:rPr>
          <w:color w:val="555555"/>
          <w:sz w:val="17"/>
        </w:rPr>
        <w:t xml:space="preserve">Zitiervorschlag: § 4 AdÜbAG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https://recht.nulegal.eu/gesetze/Ad%C3%9CbAG/4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