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AdÜbAG — Verfahren</w:t>
      </w:r>
    </w:p>
    <w:p>
      <w:r>
        <w:rPr>
          <w:color w:val="555555"/>
          <w:sz w:val="18"/>
        </w:rPr>
        <w:t xml:space="preserve">Adoptionsübereinkommens-Ausführungsgesetz</w:t>
      </w:r>
    </w:p>
    <w:p>
      <w:r>
        <w:rPr>
          <w:color w:val="555555"/>
          <w:sz w:val="18"/>
        </w:rPr>
        <w:t xml:space="preserve">Stand: 01.04.2021 (konsolidierte Textfassung, kein amtliches Inkrafttretensdatum)</w:t>
      </w:r>
    </w:p>
    <w:p>
      <w:r>
        <w:t xml:space="preserve">(1) Die Bundeszentralstelle und die Auslandsvermittlungsstellen können unmittelbar mit allen zuständigen Stellen im Inland und im Ausland verkehren. Auf ihre Tätigkeit finden die Vorschriften des Adoptionsvermittlungsgesetzes Anwendung. Die §§ 9c und 9e des Adoptionsvermittlungsgesetzes gelten auch für die von der zentralen Behörde eines anderen Vertragsstaates des Übereinkommens übermittelten personenbezogenen Daten und Unterlagen. Für die zentralen Adoptionsstellen und die Jugendämter gilt ergänzend das Zehnte Buch Sozialgesetzbuch, soweit nicht bereits § 9e des Adoptionsvermittlungsgesetzes auf diese Bestimmungen verweist.</w:t>
      </w:r>
    </w:p>
    <w:p>
      <w:r>
        <w:t xml:space="preserve">(2) Das Verfahren der Bundeszentralstelle gilt unbeschadet des Absatzes 1 Satz 2 und 3 als Justizverwaltungsverfahren. In Verfahren nach § 4 Abs. 6 oder § 9 kann dem Antragsteller aufgegeben werden, geeignete Nachweise oder beglaubigte Übersetzungen beizubringen. Die Bundeszentralstelle kann erforderliche Übersetzungen selbst in Auftrag geben; die Höhe der Vergütung für die Übersetzungen richtet sich nach dem Justizvergütungs- und -entschädigungsgesetz.</w:t>
      </w:r>
    </w:p>
    <w:p>
      <w:r>
        <w:rPr>
          <w:color w:val="555555"/>
          <w:sz w:val="17"/>
        </w:rPr>
        <w:t xml:space="preserve">Zitiervorschlag: § 3 AdÜbAG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https://recht.nulegal.eu/gesetze/Ad%C3%9CbAG/3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