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AdÜbAG — Anwendung des Abschnitts 3</w:t>
      </w:r>
    </w:p>
    <w:p>
      <w:r>
        <w:rPr>
          <w:color w:val="555555"/>
          <w:sz w:val="18"/>
        </w:rPr>
        <w:t xml:space="preserve">Adoptionsübereinkommens-Ausführungsgesetz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Bescheinigung nach § 8 wird ausgestellt, sofern die Annahme nach dem in § 10 Abs. 1 genannten Zeitpunkt und auf Grund der in Artikel 17 Buchstabe c des Übereinkommens vorgesehenen Zustimmungen vollzogen worden ist.</w:t>
      </w:r>
    </w:p>
    <w:p>
      <w:r>
        <w:t xml:space="preserve">(2) Eine Bestätigung nach § 9 wird erteilt, sofern das Übereinkommen im Verhältnis zwischen der Bundesrepublik Deutschland und dem Staat, dessen zuständige Stelle die zur Bestätigung vorgelegte Bescheinigung ausgestellt hat, in Kraft ist.</w:t>
      </w:r>
    </w:p>
    <w:p>
      <w:r>
        <w:rPr>
          <w:color w:val="555555"/>
          <w:sz w:val="17"/>
        </w:rPr>
        <w:t xml:space="preserve">Zitiervorschlag: § 11 AdÜbAG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https://recht.nulegal.eu/gesetze/Ad%C3%9CbAG/11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