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AdÜbAG — Anwendung des Abschnitts 2</w:t>
      </w:r>
    </w:p>
    <w:p>
      <w:r>
        <w:rPr>
          <w:color w:val="555555"/>
          <w:sz w:val="18"/>
        </w:rPr>
        <w:t xml:space="preserve">Adoptionsübereinkommens-Ausführungsgesetz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Bestimmungen des Abschnitts 2 sind im Verhältnis zu einem anderen Vertragsstaat des Übereinkommens anzuwenden, wenn das Übereinkommen im Verhältnis zwischen der Bundesrepublik Deutschland und diesem Vertragsstaat in Kraft ist und wenn die Bewerbung nach § 4 Abs. 1 der Auslandsvermittlungsstelle nach dem Zeitpunkt des Inkrafttretens zugegangen ist.</w:t>
      </w:r>
    </w:p>
    <w:p>
      <w:r>
        <w:t xml:space="preserve">(2) Die Bundeszentralstelle kann mit der zentralen Behörde des Heimatstaates die Anwendung der Bestimmungen des Übereinkommens auch auf solche Bewerbungen vereinbaren, die der Auslandsvermittlungsstelle vor dem in Absatz 1 genannten Zeitpunkt zugegangen sind. Die Vereinbarung kann zeitlich oder sachliche beschränkt werden. Auf einen Vermittlungsfall, der einer Vereinbarung nach den Sätzen 1 und 2 unterfällt, sind die Bestimmungen des Abschnitts 2 anzuwenden.</w:t>
      </w:r>
    </w:p>
    <w:p>
      <w:r>
        <w:rPr>
          <w:color w:val="555555"/>
          <w:sz w:val="17"/>
        </w:rPr>
        <w:t xml:space="preserve">Zitiervorschlag: § 10 AdÜbAG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https://recht.nulegal.eu/gesetze/Ad%C3%9CbAG/10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