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AckerBoSaatV 2024 — Inkrafttreten</w:t>
      </w:r>
    </w:p>
    <w:p>
      <w:r>
        <w:rPr>
          <w:color w:val="555555"/>
          <w:sz w:val="18"/>
        </w:rPr>
        <w:t xml:space="preserve">Verordnung über besondere Anforderungen an Saatgut von Ackerbohnen im Rahmen der Saatgutanerkennung 2024</w:t>
      </w:r>
    </w:p>
    <w:p>
      <w:r>
        <w:rPr>
          <w:color w:val="555555"/>
          <w:sz w:val="18"/>
        </w:rPr>
        <w:t xml:space="preserve">Historische Fassung: Stand 10.02.2024 bis 01.05.2024. Dies ist nicht die aktuelle Fassung.</w:t>
      </w:r>
    </w:p>
    <w:p>
      <w:r>
        <w:t xml:space="preserve">Diese Verordnung tritt am Tag nach der Verkündung in Kraft und mit Ablauf des 30. April 2024 außer Kraft.</w:t>
      </w:r>
    </w:p>
    <w:p>
      <w:r>
        <w:rPr>
          <w:color w:val="555555"/>
          <w:sz w:val="17"/>
        </w:rPr>
        <w:t xml:space="preserve">Zitiervorschlag: § 3 AckerBoSaatV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https://recht.nulegal.eu/gesetze/AckerBoSaatV%202024/3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