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AckerBoSaatV 2023 — Mindestkeimfähigkeit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2023</w:t>
      </w:r>
    </w:p>
    <w:p>
      <w:r>
        <w:rPr>
          <w:color w:val="555555"/>
          <w:sz w:val="18"/>
        </w:rPr>
        <w:t xml:space="preserve">Historische Fassung: Stand 02.03.2023 bis 25.06.2023. Dies ist nicht die aktuelle Fassung.</w:t>
      </w:r>
    </w:p>
    <w:p>
      <w:r>
        <w:t xml:space="preserve">(1) Abweichend von § 6 Satz 2 in Verbindung mit Anlage 3 Nummer 3.1.14 Spalte 3 der Saatgutverordnung in der Fassung der Bekanntmachung vom 8. Februar 2006 (BGBl. I S. 344), die zuletzt durch Artikel 1 der Verordnung vom 13. Juli 2022 (BGBl. I S. 1186) geändert worden ist, beträgt die Mindestkeimfähigkeit für Zertifiziertes Saatgut von Ackerbohnen der Sorten „Fanfare“, „Trumpet“, „Wizard“, „Fuego“, „Tiffany“, „Birgit“, „Macho“ und „Allison“ 70 vom Hundert der reinen Körner.</w:t>
      </w:r>
    </w:p>
    <w:p>
      <w:r>
        <w:t xml:space="preserve">(2) Saatgut, das nach den Anforderungen des Absatzes 1 anerkannt worden ist, darf bis zum Ablauf des 30. April 2023 in den Verkehr gebracht werden.</w:t>
      </w:r>
    </w:p>
    <w:p>
      <w:r>
        <w:rPr>
          <w:color w:val="555555"/>
          <w:sz w:val="17"/>
        </w:rPr>
        <w:t xml:space="preserve">Zitiervorschlag: § 1 AckerBoSaatV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