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AbwasserMeistPrV — Umfang der 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Abwassermeister/Geprüfte Abwassermeisterin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Abwassermeister/zur Geprüften Abwassermeisterin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Grundlegende 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 Grund einer anderen öffentlich-rechtlichen Regelung, wenn die nachgewiesenen Kenntnisse den Anforderungen nach den §§ 2 bis 4 der Ausbilder-Eignungsverordnung gleichwertig sind, ist nachzuweisen. Der Nachweis soll vor Ablegen des Prüfungsteils "Handlungsspezifische Qualifikationen" erfolgen.</w:t>
      </w:r>
    </w:p>
    <w:p>
      <w:r>
        <w:t xml:space="preserve">(3) Die Prüfung zum Geprüften Abwassermeister/zur Geprüften Abwassermeisterin gliedert sich in die Prüfungsteile:</w:t>
      </w:r>
    </w:p>
    <w:p>
      <w:pPr>
        <w:ind w:left="420"/>
      </w:pPr>
      <w:r>
        <w:t xml:space="preserve">1. Grundlegende Qualifikationen und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prüfen.</w:t>
      </w:r>
    </w:p>
    <w:p>
      <w:r>
        <w:t xml:space="preserve">(5) Im Prüfungsteil nach Absatz 3 Nr. 2 ist schriftlich und mündlich in Form von handlungsspezifischen Aufgabenstellungen gemäß § 5 zu prüfen.</w:t>
      </w:r>
    </w:p>
    <w:p>
      <w:r>
        <w:rPr>
          <w:color w:val="555555"/>
          <w:sz w:val="17"/>
        </w:rPr>
        <w:t xml:space="preserve">Zitiervorschlag: § 2 AbwasserMeistPrV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https://recht.nulegal.eu/gesetze/AbwasserMeistPrV/2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AbwasserMeistPrV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