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Anhang 49 AbwV — Mineralölhaltiges Abwasser</w:t>
      </w:r>
    </w:p>
    <w:p>
      <w:r>
        <w:rPr>
          <w:color w:val="555555"/>
          <w:sz w:val="18"/>
        </w:rPr>
        <w:t xml:space="preserve">Abwasserverordnung</w:t>
      </w:r>
    </w:p>
    <w:p>
      <w:r>
        <w:rPr>
          <w:color w:val="555555"/>
          <w:sz w:val="18"/>
        </w:rPr>
        <w:t xml:space="preserve">Stand: 10.06.2019 (konsolidierte Textfassung, kein amtliches Inkrafttretensdatum)</w:t>
      </w:r>
    </w:p>
    <w:p>
      <w:r>
        <w:t xml:space="preserve">(Fundstelle des Originaltextes: BGBl. I 2004, 1173 - 1174)</w:t>
      </w:r>
    </w:p>
    <w:p>
      <w:pPr>
        <w:ind w:left="420"/>
      </w:pPr>
      <w:r>
        <w:t xml:space="preserve">A Anwendungsbereich</w:t>
      </w:r>
    </w:p>
    <w:p>
      <w:r>
        <w:t xml:space="preserve">(1) Dieser Anhang gilt für Abwasser, dessen Schadstofffracht im Wesentlichen aus Betriebsstätten stammt, in denen bei der Entkonservierung, Reinigung, Instandhaltung, Instandsetzung sowie Verwertung von Fahrzeugen und Fahrzeugteilen regelmäßig mineralölhaltiges Abwasser anfällt. (2) Dieser Anhang gilt nicht für Abwasser aus</w:t>
      </w:r>
    </w:p>
    <w:p>
      <w:pPr>
        <w:ind w:left="420"/>
      </w:pPr>
      <w:r>
        <w:t xml:space="preserve">1. der Behandlung von Bilgen-, Slop- und Ballastwasser aus Schiffen,</w:t>
      </w:r>
    </w:p>
    <w:p>
      <w:pPr>
        <w:ind w:left="420"/>
      </w:pPr>
      <w:r>
        <w:t xml:space="preserve">2. der Metallbe- und -verarbeitung sowie der Lackiererei,</w:t>
      </w:r>
    </w:p>
    <w:p>
      <w:pPr>
        <w:ind w:left="420"/>
      </w:pPr>
      <w:r>
        <w:t xml:space="preserve">3. der Innenreinigung von Transportbehältern.</w:t>
      </w:r>
    </w:p>
    <w:p>
      <w:pPr>
        <w:ind w:left="420"/>
      </w:pPr>
      <w:r>
        <w:t xml:space="preserve">B Allgemeine Anforderungen</w:t>
      </w:r>
    </w:p>
    <w:p>
      <w:r>
        <w:t xml:space="preserve">(1) Die Schadstofffracht ist so gering zu halten, wie dies durch folgende Maßnahmen möglich ist:</w:t>
      </w:r>
    </w:p>
    <w:p>
      <w:pPr>
        <w:ind w:left="420"/>
      </w:pPr>
      <w:r>
        <w:t xml:space="preserve">1. weitestgehende Kreislaufführung des Waschwassers in Anlagen zur maschinellen Fahrzeugreinigung,</w:t>
      </w:r>
    </w:p>
    <w:p>
      <w:pPr>
        <w:ind w:left="420"/>
      </w:pPr>
      <w:r>
        <w:t xml:space="preserve">2. Vermeidung zusätzlicher Abwasserbelastung bei Maßnahmen zur Verringerung des Wachstums von Mikroorganismen in Kreislaufanlagen.</w:t>
      </w:r>
    </w:p>
    <w:p>
      <w:r>
        <w:t xml:space="preserve">(2) Über Absatz 1 hinaus ist die Schadstofffracht nach Prüfung der Möglichkeiten im Einzelfall durch folgende Maßnahmen gering zu halten:</w:t>
      </w:r>
    </w:p>
    <w:p>
      <w:pPr>
        <w:ind w:left="420"/>
      </w:pPr>
      <w:r>
        <w:t xml:space="preserve">1. abwasserfreier Betrieb der Werkstatt,</w:t>
      </w:r>
    </w:p>
    <w:p>
      <w:pPr>
        <w:ind w:left="420"/>
      </w:pPr>
      <w:r>
        <w:t xml:space="preserve">2. Kreislaufführung des Waschwassers aus der Reinigung von Fahrzeugteilen und Entkonservierung,</w:t>
      </w:r>
    </w:p>
    <w:p>
      <w:pPr>
        <w:ind w:left="420"/>
      </w:pPr>
      <w:r>
        <w:t xml:space="preserve">3. Geringhalten des Anfalls von mineralölverunreinigtem Niederschlagswasser,</w:t>
      </w:r>
    </w:p>
    <w:p>
      <w:pPr>
        <w:ind w:left="420"/>
      </w:pPr>
      <w:r>
        <w:t xml:space="preserve">4. Abwassereinleitungen aus Kreislaufanlagen maschineller Fahrzeugwaschanlagen nur aus der Betriebswasservorlage.</w:t>
      </w:r>
    </w:p>
    <w:p>
      <w:r>
        <w:t xml:space="preserve">(3) Das Abwasser darf nicht enthalten:</w:t>
      </w:r>
    </w:p>
    <w:p>
      <w:pPr>
        <w:ind w:left="420"/>
      </w:pPr>
      <w:r>
        <w:t xml:space="preserve">1. organische Komplexbildner, die einen DOC-Eliminierungsgrad nach 28 Tagen von mindestens 80 Prozent entsprechend dem Verfahren nach Anlage 1 Nummer 406 nicht erreichen,</w:t>
      </w:r>
    </w:p>
    <w:p>
      <w:pPr>
        <w:ind w:left="420"/>
      </w:pPr>
      <w:r>
        <w:t xml:space="preserve">2. organisch gebundene Halogene, die aus Wasch- und Reinigungsmitteln oder sonstigen Betriebs- und Hilfsstoffen stammen.</w:t>
      </w:r>
    </w:p>
    <w:p>
      <w:r>
        <w:t xml:space="preserve">Der Nachweis, dass die Anforderungen eingehalten sind, kann dadurch erbracht werden, dass alle jeweils eingesetzten Wasch- und Reinigungsmittel oder sonstigen Betriebs- und Hilfsstoffe in einem Betriebstagebuch aufgeführt sind und nach Angaben des Herstellers keine der genannten Wasch- und Reinigungsmittel sowie Stoffe und Stoffgruppen enthalten.</w:t>
      </w:r>
    </w:p>
    <w:p>
      <w:pPr>
        <w:ind w:left="420"/>
      </w:pPr>
      <w:r>
        <w:t xml:space="preserve">C Anforderungen an das Abwasser für die Einleitungsstelle</w:t>
      </w:r>
    </w:p>
    <w:p>
      <w:r>
        <w:t xml:space="preserve">An das Abwasser werden für die Einleitungsstelle in das Gewässer folgende Anforderungen gestellt:</w:t>
      </w:r>
    </w:p>
    <w:p>
      <w:r>
        <w:rPr>
          <w:rFonts w:ascii="Courier New" w:hAnsi="Courier New"/>
          <w:sz w:val="17"/>
        </w:rPr>
        <w:t xml:space="preserve">    Qualifizierte Stichprobe oder2-Stunden-Mischprobe</w:t>
      </w:r>
    </w:p>
    <w:p>
      <w:r>
        <w:rPr>
          <w:rFonts w:ascii="Courier New" w:hAnsi="Courier New"/>
          <w:sz w:val="17"/>
        </w:rPr>
        <w:t xml:space="preserve">(mg/l)</w:t>
      </w:r>
    </w:p>
    <w:p>
      <w:r>
        <w:rPr>
          <w:rFonts w:ascii="Courier New" w:hAnsi="Courier New"/>
          <w:sz w:val="17"/>
        </w:rPr>
        <w:t xml:space="preserve">Chemischer Sauerstoffbedarf (CSB)    150</w:t>
      </w:r>
    </w:p>
    <w:p>
      <w:r>
        <w:rPr>
          <w:rFonts w:ascii="Courier New" w:hAnsi="Courier New"/>
          <w:sz w:val="17"/>
        </w:rPr>
        <w:t xml:space="preserve">Biochemischer Sauerstoffbedarf (BSB5)    40</w:t>
      </w:r>
    </w:p>
    <w:p>
      <w:pPr>
        <w:ind w:left="420"/>
      </w:pPr>
      <w:r>
        <w:t xml:space="preserve">D Anforderungen an das Abwasser vor Vermischung</w:t>
      </w:r>
    </w:p>
    <w:p>
      <w:r>
        <w:t xml:space="preserve">An das Abwasser werden vor der Vermischung mit anderem Abwasser keine zusätzlichen Anforderungen gestellt.</w:t>
      </w:r>
    </w:p>
    <w:p>
      <w:pPr>
        <w:ind w:left="420"/>
      </w:pPr>
      <w:r>
        <w:t xml:space="preserve">E Anforderungen an das Abwasser für den Ort des Anfalls</w:t>
      </w:r>
    </w:p>
    <w:p>
      <w:r>
        <w:t xml:space="preserve">(1) Im Abwasser ist für Kohlenwasserstoffe, gesamt, ein Wert von 20 mg/l in der Stichprobe einzuhalten. Die Anforderung gilt nicht für einen Abwasseranfall von weniger als 1 m3 je Tag. (2) Die Anforderung nach Absatz 1 Satz 1 gilt auch als eingehalten, wenn eine durch allgemeine bauaufsichtliche Zulassung für Anlagen zur Begrenzung von Kohlenwasserstoffen in mineralölhaltigem Abwasser oder sonst nach Landesrecht zugelassene Abwasserbehandlungsanlage entsprechend der Zulassung eingebaut, betrieben und regelmäßig gewartet sowie vor Inbetriebnahme und in regelmäßigen Abständen von nicht länger als 5 Jahren nach Landesrecht auf ihren ordnungsgemäßen Zustand überprüft wird. (3) In Leichtflüssigkeitsabscheideranlagen darf nur Abwasser abgeleitet werden, das abscheidefreundliche Wasch- und Reinigungsmittel oder instabile Emulsionen enthält, die die Reinigungsleistung der Anlage nicht beeinträchtigen. Abscheidefreundlich im Sinne dieses Anhangs sind Reinigungsmittel, die in Verbindung mit Leichtflüssigkeiten temporärstabile oder instabile Emulsionen bilden, d. h. die nach dem Reinigungsprozess deemulgieren. (4) Die Anforderung nach Absatz 1 Satz 1 gilt für Abwasser aus der maschinellen Fahrzeugreinigung auch als eingehalten, wenn das Überschusswasser aus der Betriebswasservorlage der Kreislaufanlage abgeleitet wird. (5) Ort des Anfalls des Abwassers ist der Ablauf der Vorbehandlungsanlage für das kohlenwasserstoffhaltige Abwasser.</w:t>
      </w:r>
    </w:p>
    <w:p>
      <w:pPr>
        <w:ind w:left="420"/>
      </w:pPr>
      <w:r>
        <w:t xml:space="preserve">F Anforderungen für vorhandene Einleitungen</w:t>
      </w:r>
    </w:p>
    <w:p>
      <w:r>
        <w:t xml:space="preserve">Für vorhandene Einleitungen von Abwasser aus Anlagen, die vor dem 1. Juni 2000 rechtmäßig in Betrieb waren oder mit deren Bau zu diesem Zeitpunkt rechtmäßig begonnen worden ist, gelten folgende abweichende Anforderungen:</w:t>
      </w:r>
    </w:p>
    <w:p>
      <w:pPr>
        <w:ind w:left="420"/>
      </w:pPr>
      <w:r>
        <w:t xml:space="preserve">1. Die Anforderung an die Schadstofffracht nach Teil B Abs. 1 Nr. 1 gilt nach Prüfung der Möglichkeiten im Einzelfall.</w:t>
      </w:r>
    </w:p>
    <w:p>
      <w:pPr>
        <w:ind w:left="420"/>
      </w:pPr>
      <w:r>
        <w:t xml:space="preserve">2. Für Abwasser aus der maschinellen Fahrzeugreinigung gilt der Wert für Kohlenwasserstoffe, gesamt, nach Teil E Abs. 1 als eingehalten.</w:t>
      </w:r>
    </w:p>
    <w:p>
      <w:pPr>
        <w:ind w:left="420"/>
      </w:pPr>
      <w:r>
        <w:t xml:space="preserve">3. Bei der Berechnung des Abwasseranfalls nach Teil E Abs. 1 Satz 2 bleibt Abwasser aus der maschinellen Fahrzeugreinigung außer Betracht.</w:t>
      </w:r>
    </w:p>
    <w:p>
      <w:r>
        <w:rPr>
          <w:color w:val="555555"/>
          <w:sz w:val="17"/>
        </w:rPr>
        <w:t xml:space="preserve">Zitiervorschlag: Anhang 49 AbwV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https://recht.nulegal.eu/gesetze/AbwV/anhang-49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Anhang 49 AbwV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