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AbwV — Bezugspunkt der Anforderungen</w:t>
      </w:r>
    </w:p>
    <w:p>
      <w:r>
        <w:rPr>
          <w:color w:val="555555"/>
          <w:sz w:val="18"/>
        </w:rPr>
        <w:t xml:space="preserve">Abwasserverordnung</w:t>
      </w:r>
    </w:p>
    <w:p>
      <w:r>
        <w:rPr>
          <w:color w:val="555555"/>
          <w:sz w:val="18"/>
        </w:rPr>
        <w:t xml:space="preserve">Stand: 10.06.2019 (konsolidierte Textfassung, kein amtliches Inkrafttretensdatum)</w:t>
      </w:r>
    </w:p>
    <w:p>
      <w:r>
        <w:t xml:space="preserve">(1) Die Anforderungen beziehen sich auf die Stelle, an der das Abwasser in das Gewässer eingeleitet wird, und, soweit in den Anhängen zu dieser Verordnung bestimmt, auch auf den Ort des Anfalls des Abwassers oder den Ort vor seiner Vermischung.</w:t>
      </w:r>
    </w:p>
    <w:p>
      <w:r>
        <w:t xml:space="preserve">(2) Der Einleitungsstelle steht der Ablauf der Abwasseranlage, in der das Abwasser letztmalig behandelt wird, gleich. Ort vor der Vermischung ist auch die Einleitungsstelle in eine öffentliche Abwasseranlage.</w:t>
      </w:r>
    </w:p>
    <w:p>
      <w:r>
        <w:t xml:space="preserve">(3) Findet keine Vermischung des Abwassers mit anderem Abwasser statt, gelten Anforderungen, die sich auf den Ort vor seiner Vermischung beziehen, für die Einleitungsstelle in das Gewässer.</w:t>
      </w:r>
    </w:p>
    <w:p>
      <w:r>
        <w:rPr>
          <w:color w:val="555555"/>
          <w:sz w:val="17"/>
        </w:rPr>
        <w:t xml:space="preserve">Zitiervorschlag: § 5 AbwV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