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AbwV — Analyse- und Messverfahren</w:t>
      </w:r>
    </w:p>
    <w:p>
      <w:r>
        <w:rPr>
          <w:color w:val="555555"/>
          <w:sz w:val="18"/>
        </w:rPr>
        <w:t xml:space="preserve">Abwasserverordnung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Anforderungen in den Anhängen beziehen sich auf die Analyse- und Messverfahren gemäß der Anlage 1. Die in der Anlage 1 und den Anhängen genannten Deutschen Einheitsverfahren zur Wasser-, Abwasser- und Schlammuntersuchung (DEV), DIN-, DIN EN-, DIN ISO-, DIN EN ISO-Normen und technischen Regeln der Wasserchemische Gesellschaft werden vom Beuth Verlag GmbH, Berlin, und von der Wasserchemischen Gesellschaft in der Gesellschaft Deutscher Chemiker, Wiley-VCH Verlag, Weinheim (Bergstraße), herausgegeben. Die genannten Verfahrensvorschriften sind beim Deutschen Patentamt in München archivmäßig gesichert niedergelegt.</w:t>
      </w:r>
    </w:p>
    <w:p>
      <w:r>
        <w:t xml:space="preserve">(2) In der wasserrechtlichen Zulassung können andere, gleichwertige Verfahren festgesetzt werden.</w:t>
      </w:r>
    </w:p>
    <w:p>
      <w:r>
        <w:rPr>
          <w:color w:val="555555"/>
          <w:sz w:val="17"/>
        </w:rPr>
        <w:t xml:space="preserve">Zitiervorschlag: § 4 AbwV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