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AbwV — Anwendungsbereich</w:t>
      </w:r>
    </w:p>
    <w:p>
      <w:r>
        <w:rPr>
          <w:color w:val="555555"/>
          <w:sz w:val="18"/>
        </w:rPr>
        <w:t xml:space="preserve">Abwasserverordnung</w:t>
      </w:r>
    </w:p>
    <w:p>
      <w:r>
        <w:rPr>
          <w:color w:val="555555"/>
          <w:sz w:val="18"/>
        </w:rPr>
        <w:t xml:space="preserve">Stand: 10.06.2019 (konsolidierte Textfassung, kein amtliches Inkrafttretensdatum)</w:t>
      </w:r>
    </w:p>
    <w:p>
      <w:r>
        <w:t xml:space="preserve">(1) Diese Verordnung bestimmt die Mindestanforderungen für das Einleiten von Abwasser in Gewässer aus den in den Anhängen bestimmten Herkunftsbereichen sowie Anforderungen an die Errichtung, den Betrieb und die Benutzung von Abwasseranlagen.</w:t>
      </w:r>
    </w:p>
    <w:p>
      <w:r>
        <w:t xml:space="preserve">(2) Die allgemeinen Anforderungen dieser Verordnung, die in den Anhängen genannten Betreiberpflichten und die in den Anhängen gekennzeichneten Emissionsgrenzwerte sind vom Einleiter einzuhalten, soweit nicht weitergehende Anforderungen in der wasserrechtlichen Zulassung für das Einleiten von Abwasser festgelegt sind. Die übrigen Anforderungen der Anhänge dieser Verordnung sind bei der Erteilung einer wasserrechtlichen Zulassung für das Einleiten von Abwasser festzusetzen. Anforderungen sind in die wasserrechtliche Zulassung nur für diejenigen Parameter aufzunehmen, die im Abwasser zu erwarten sind.</w:t>
      </w:r>
    </w:p>
    <w:p>
      <w:r>
        <w:t xml:space="preserve">(3) Weitergehende Anforderungen nach anderen Rechtsvorschriften bleiben unberührt.</w:t>
      </w:r>
    </w:p>
    <w:p>
      <w:r>
        <w:rPr>
          <w:color w:val="555555"/>
          <w:sz w:val="17"/>
        </w:rPr>
        <w:t xml:space="preserve">Zitiervorschlag: § 1 AbwV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https://recht.nulegal.eu/gesetze/AbwV/1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