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AbwUTechAusbV — Dauer der Berufsausbildung</w:t>
      </w:r>
    </w:p>
    <w:p>
      <w:r>
        <w:rPr>
          <w:color w:val="555555"/>
          <w:sz w:val="18"/>
        </w:rPr>
        <w:t xml:space="preserve">Abwasserbewirtschaftungsumwelttechnologen-Ausbildungsverordnung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AbwUTechAusbV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https://recht.nulegal.eu/gesetze/AbwUTechAusbV/2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