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AbwUTechAusbV — Staatliche Anerkennung des Ausbildungsberufes</w:t>
      </w:r>
    </w:p>
    <w:p>
      <w:r>
        <w:rPr>
          <w:color w:val="555555"/>
          <w:sz w:val="18"/>
        </w:rPr>
        <w:t xml:space="preserve">Abwasserbewirtschaftungsumwelttechnologen-Ausbildungsverordnung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Der Ausbildungsberuf mit der Berufsbezeichnung des Umwelttechnologen für Abwasserbewirtschaftung und der Umwelttechnologin für Abwasserbewirtschaftung wird nach § 4 Absatz 1 des Berufsbildungsgesetzes staatlich anerkannt. Der Ausbildungsberuf ist, soweit die Berufsausbildung im Bereich des öffentlichen Dienstes stattfindet, Ausbildungsberuf des öffentlichen Dienstes. Im Übrigen ist er Ausbildungsberuf der gewerblichen Wirtschaft.</w:t>
      </w:r>
    </w:p>
    <w:p>
      <w:r>
        <w:rPr>
          <w:color w:val="555555"/>
          <w:sz w:val="17"/>
        </w:rPr>
        <w:t xml:space="preserve">Zitiervorschlag: § 1 AbwUTechAusbV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https://recht.nulegal.eu/gesetze/AbwUTechAusbV/1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