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AbwAG — Pauschalierung bei Kleineinleitungen von Schmutzwasser aus Haushaltungen und ähnlichem Schmutzwasser</w:t>
      </w:r>
    </w:p>
    <w:p>
      <w:r>
        <w:rPr>
          <w:color w:val="555555"/>
          <w:sz w:val="18"/>
        </w:rPr>
        <w:t xml:space="preserve">Abwasserabgabengesetz</w:t>
      </w:r>
    </w:p>
    <w:p>
      <w:r>
        <w:rPr>
          <w:color w:val="555555"/>
          <w:sz w:val="18"/>
        </w:rPr>
        <w:t xml:space="preserve">Stand: 10.06.2019 (konsolidierte Textfassung, kein amtliches Inkrafttretensdatum)</w:t>
      </w:r>
    </w:p>
    <w:p>
      <w:r>
        <w:t xml:space="preserve">(1) Die Zahl der Schadeinheiten von Schmutzwasser aus Haushaltungen und ähnlichem Schmutzwasser, für das eine Körperschaft des öffentlichen Rechts nach § 9 Abs. 2 Satz 2 abgabepflichtig ist, beträgt die Hälfte der Zahl der nicht an die Kanalisation angeschlossenen Einwohner, soweit die Länder nichts anderes bestimmen. Ist die Zahl der Einwohner nicht oder nur mit unverhältnismäßigem Aufwand zu ermitteln, kann sie geschätzt werden.</w:t>
      </w:r>
    </w:p>
    <w:p>
      <w:r>
        <w:t xml:space="preserve">(2) Die Länder können bestimmen, unter welchen Voraussetzungen die Einleitung abgabefrei bleibt. Die Einleitung ist abgabefrei, wenn der Bau der Abwasserbehandlungsanlage mindestens den allgemein anerkannten Regeln der Technik entspricht und die ordnungsgemäße Schlammbeseitigung sichergestellt ist.</w:t>
      </w:r>
    </w:p>
    <w:p>
      <w:r>
        <w:rPr>
          <w:color w:val="555555"/>
          <w:sz w:val="17"/>
        </w:rPr>
        <w:t xml:space="preserve">Zitiervorschlag: § 8 AbwAG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https://recht.nulegal.eu/gesetze/AbwAG/8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